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6DBB7AE6"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BB177D">
              <w:rPr>
                <w:rFonts w:asciiTheme="minorHAnsi" w:hAnsiTheme="minorHAnsi"/>
                <w:b/>
                <w:sz w:val="32"/>
                <w:szCs w:val="32"/>
              </w:rPr>
              <w:t>Medical Psychotherapy</w:t>
            </w:r>
            <w:r w:rsidR="008C68E9">
              <w:rPr>
                <w:rFonts w:asciiTheme="minorHAnsi" w:hAnsiTheme="minorHAnsi"/>
                <w:b/>
                <w:sz w:val="32"/>
                <w:szCs w:val="32"/>
              </w:rPr>
              <w:t xml:space="preserve"> </w:t>
            </w:r>
            <w:r w:rsidR="008C68E9" w:rsidRPr="00AC2EC6">
              <w:rPr>
                <w:rFonts w:asciiTheme="minorHAnsi" w:hAnsiTheme="minorHAnsi"/>
                <w:b/>
                <w:sz w:val="32"/>
                <w:szCs w:val="32"/>
              </w:rPr>
              <w:t>Training</w:t>
            </w:r>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proofErr w:type="gramStart"/>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proofErr w:type="gramEnd"/>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 xml:space="preserve">To be an advocate and a positive role model on behalf of HEE, by promoting leadership that inspires, </w:t>
            </w:r>
            <w:proofErr w:type="gramStart"/>
            <w:r w:rsidRPr="00B42E04">
              <w:rPr>
                <w:sz w:val="20"/>
                <w:szCs w:val="20"/>
              </w:rPr>
              <w:t>motivates</w:t>
            </w:r>
            <w:proofErr w:type="gramEnd"/>
            <w:r w:rsidRPr="00B42E04">
              <w:rPr>
                <w:sz w:val="20"/>
                <w:szCs w:val="20"/>
              </w:rPr>
              <w:t xml:space="preserve">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Specialty-specific matters and trainee/trainer </w:t>
            </w:r>
            <w:proofErr w:type="gramStart"/>
            <w:r w:rsidRPr="00B42E04">
              <w:rPr>
                <w:rFonts w:ascii="Arial" w:eastAsia="Calibri" w:hAnsi="Arial" w:cs="Arial"/>
                <w:sz w:val="20"/>
                <w:szCs w:val="20"/>
                <w:lang w:eastAsia="en-US"/>
              </w:rPr>
              <w:t>concerns;</w:t>
            </w:r>
            <w:proofErr w:type="gramEnd"/>
            <w:r w:rsidRPr="00B42E04">
              <w:rPr>
                <w:rFonts w:ascii="Arial" w:eastAsia="Calibri" w:hAnsi="Arial" w:cs="Arial"/>
                <w:sz w:val="20"/>
                <w:szCs w:val="20"/>
                <w:lang w:eastAsia="en-US"/>
              </w:rPr>
              <w:t>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Recruitment to training posts and </w:t>
            </w:r>
            <w:proofErr w:type="gramStart"/>
            <w:r w:rsidRPr="00B42E04">
              <w:rPr>
                <w:rFonts w:ascii="Arial" w:eastAsia="Calibri" w:hAnsi="Arial" w:cs="Arial"/>
                <w:sz w:val="20"/>
                <w:szCs w:val="20"/>
                <w:lang w:eastAsia="en-US"/>
              </w:rPr>
              <w:t>programmes;</w:t>
            </w:r>
            <w:proofErr w:type="gramEnd"/>
            <w:r w:rsidRPr="00B42E04">
              <w:rPr>
                <w:rFonts w:ascii="Arial" w:eastAsia="Calibri" w:hAnsi="Arial" w:cs="Arial"/>
                <w:sz w:val="20"/>
                <w:szCs w:val="20"/>
                <w:lang w:eastAsia="en-US"/>
              </w:rPr>
              <w:t>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anagement, including assessments, progression, rotations, </w:t>
            </w:r>
            <w:proofErr w:type="gramStart"/>
            <w:r w:rsidRPr="00B42E04">
              <w:rPr>
                <w:rFonts w:ascii="Arial" w:eastAsia="Calibri" w:hAnsi="Arial" w:cs="Arial"/>
                <w:sz w:val="20"/>
                <w:szCs w:val="20"/>
                <w:lang w:eastAsia="en-US"/>
              </w:rPr>
              <w:t>support</w:t>
            </w:r>
            <w:proofErr w:type="gramEnd"/>
            <w:r w:rsidRPr="00B42E04">
              <w:rPr>
                <w:rFonts w:ascii="Arial" w:eastAsia="Calibri" w:hAnsi="Arial" w:cs="Arial"/>
                <w:sz w:val="20"/>
                <w:szCs w:val="20"/>
                <w:lang w:eastAsia="en-US"/>
              </w:rPr>
              <w:t xml:space="preserve">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w:t>
            </w:r>
            <w:proofErr w:type="spellStart"/>
            <w:r w:rsidRPr="00B42E04">
              <w:rPr>
                <w:rFonts w:ascii="Arial" w:eastAsia="Calibri" w:hAnsi="Arial" w:cs="Arial"/>
                <w:sz w:val="20"/>
                <w:szCs w:val="20"/>
                <w:lang w:eastAsia="en-US"/>
              </w:rPr>
              <w:t>interdeanery</w:t>
            </w:r>
            <w:proofErr w:type="spellEnd"/>
            <w:r w:rsidRPr="00B42E04">
              <w:rPr>
                <w:rFonts w:ascii="Arial" w:eastAsia="Calibri" w:hAnsi="Arial" w:cs="Arial"/>
                <w:sz w:val="20"/>
                <w:szCs w:val="20"/>
                <w:lang w:eastAsia="en-US"/>
              </w:rPr>
              <w:t xml:space="preserve"> transfer, academic </w:t>
            </w:r>
            <w:proofErr w:type="gramStart"/>
            <w:r w:rsidRPr="00B42E04">
              <w:rPr>
                <w:rFonts w:ascii="Arial" w:eastAsia="Calibri" w:hAnsi="Arial" w:cs="Arial"/>
                <w:sz w:val="20"/>
                <w:szCs w:val="20"/>
                <w:lang w:eastAsia="en-US"/>
              </w:rPr>
              <w:t>training</w:t>
            </w:r>
            <w:proofErr w:type="gramEnd"/>
            <w:r w:rsidRPr="00B42E04">
              <w:rPr>
                <w:rFonts w:ascii="Arial" w:eastAsia="Calibri" w:hAnsi="Arial" w:cs="Arial"/>
                <w:sz w:val="20"/>
                <w:szCs w:val="20"/>
                <w:lang w:eastAsia="en-US"/>
              </w:rPr>
              <w:t>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meet Code of Practice requirements, ensuring that rotational information is available to local teams to meet the </w:t>
            </w:r>
            <w:proofErr w:type="gramStart"/>
            <w:r w:rsidRPr="00B42E04">
              <w:rPr>
                <w:rFonts w:ascii="Arial" w:eastAsia="Calibri" w:hAnsi="Arial" w:cs="Arial"/>
                <w:sz w:val="20"/>
                <w:szCs w:val="20"/>
                <w:lang w:eastAsia="en-US"/>
              </w:rPr>
              <w:t>12 week</w:t>
            </w:r>
            <w:proofErr w:type="gramEnd"/>
            <w:r w:rsidRPr="00B42E04">
              <w:rPr>
                <w:rFonts w:ascii="Arial" w:eastAsia="Calibri" w:hAnsi="Arial" w:cs="Arial"/>
                <w:sz w:val="20"/>
                <w:szCs w:val="20"/>
                <w:lang w:eastAsia="en-US"/>
              </w:rPr>
              <w:t xml:space="preserve">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compliance with requirements particularly </w:t>
            </w:r>
            <w:proofErr w:type="gramStart"/>
            <w:r w:rsidRPr="00B42E04">
              <w:rPr>
                <w:rFonts w:ascii="Arial" w:eastAsia="Calibri" w:hAnsi="Arial" w:cs="Arial"/>
                <w:sz w:val="20"/>
                <w:szCs w:val="20"/>
                <w:lang w:eastAsia="en-US"/>
              </w:rPr>
              <w:t>with regard to</w:t>
            </w:r>
            <w:proofErr w:type="gramEnd"/>
            <w:r w:rsidRPr="00B42E04">
              <w:rPr>
                <w:rFonts w:ascii="Arial" w:eastAsia="Calibri" w:hAnsi="Arial" w:cs="Arial"/>
                <w:sz w:val="20"/>
                <w:szCs w:val="20"/>
                <w:lang w:eastAsia="en-US"/>
              </w:rPr>
              <w:t xml:space="preserve">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w:t>
            </w:r>
            <w:proofErr w:type="gramStart"/>
            <w:r w:rsidRPr="00B42E04">
              <w:rPr>
                <w:rFonts w:ascii="Arial" w:eastAsia="Calibri" w:hAnsi="Arial" w:cs="Arial"/>
                <w:sz w:val="20"/>
                <w:szCs w:val="20"/>
                <w:lang w:eastAsia="en-US"/>
              </w:rPr>
              <w:t>trainees</w:t>
            </w:r>
            <w:proofErr w:type="gramEnd"/>
            <w:r w:rsidRPr="00B42E04">
              <w:rPr>
                <w:rFonts w:ascii="Arial" w:eastAsia="Calibri" w:hAnsi="Arial" w:cs="Arial"/>
                <w:sz w:val="20"/>
                <w:szCs w:val="20"/>
                <w:lang w:eastAsia="en-US"/>
              </w:rPr>
              <w:t>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create and promote shared learning opportunities to increase effective inter-professional working across the </w:t>
            </w:r>
            <w:proofErr w:type="gramStart"/>
            <w:r w:rsidRPr="00B42E04">
              <w:rPr>
                <w:rFonts w:ascii="Arial" w:eastAsia="Calibri" w:hAnsi="Arial" w:cs="Arial"/>
                <w:sz w:val="20"/>
                <w:szCs w:val="20"/>
                <w:lang w:eastAsia="en-US"/>
              </w:rPr>
              <w:t>School</w:t>
            </w:r>
            <w:proofErr w:type="gramEnd"/>
            <w:r w:rsidRPr="00B42E04">
              <w:rPr>
                <w:rFonts w:ascii="Arial" w:eastAsia="Calibri" w:hAnsi="Arial" w:cs="Arial"/>
                <w:sz w:val="20"/>
                <w:szCs w:val="20"/>
                <w:lang w:eastAsia="en-US"/>
              </w:rPr>
              <w:t>.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the implementation of alternative workforce solutions within the </w:t>
            </w:r>
            <w:proofErr w:type="gramStart"/>
            <w:r w:rsidRPr="00B42E04">
              <w:rPr>
                <w:rFonts w:ascii="Arial" w:eastAsia="Calibri" w:hAnsi="Arial" w:cs="Arial"/>
                <w:sz w:val="20"/>
                <w:szCs w:val="20"/>
                <w:lang w:eastAsia="en-US"/>
              </w:rPr>
              <w:t>School</w:t>
            </w:r>
            <w:proofErr w:type="gramEnd"/>
            <w:r w:rsidRPr="00B42E04">
              <w:rPr>
                <w:rFonts w:ascii="Arial" w:eastAsia="Calibri" w:hAnsi="Arial" w:cs="Arial"/>
                <w:sz w:val="20"/>
                <w:szCs w:val="20"/>
                <w:lang w:eastAsia="en-US"/>
              </w:rPr>
              <w:t>.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 xml:space="preserve">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w:t>
            </w:r>
            <w:proofErr w:type="spellStart"/>
            <w:proofErr w:type="gramStart"/>
            <w:r w:rsidRPr="005837B5">
              <w:rPr>
                <w:rFonts w:hAnsi="Arial" w:cs="Arial"/>
              </w:rPr>
              <w:t>behaviours</w:t>
            </w:r>
            <w:proofErr w:type="spellEnd"/>
            <w:proofErr w:type="gramEnd"/>
            <w:r w:rsidRPr="005837B5">
              <w:rPr>
                <w:rFonts w:hAnsi="Arial" w:cs="Arial"/>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w:t>
                  </w:r>
                  <w:proofErr w:type="gramStart"/>
                  <w:r w:rsidRPr="005837B5">
                    <w:rPr>
                      <w:sz w:val="20"/>
                      <w:szCs w:val="20"/>
                    </w:rPr>
                    <w:t>you</w:t>
                  </w:r>
                  <w:proofErr w:type="gramEnd"/>
                  <w:r w:rsidRPr="005837B5">
                    <w:rPr>
                      <w:sz w:val="20"/>
                      <w:szCs w:val="20"/>
                    </w:rPr>
                    <w:t xml:space="preserve">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 xml:space="preserve">Ability to make decisions autonomously when required on difficult </w:t>
            </w:r>
            <w:proofErr w:type="gramStart"/>
            <w:r w:rsidRPr="005837B5">
              <w:rPr>
                <w:rFonts w:eastAsia="Arial"/>
                <w:sz w:val="20"/>
                <w:szCs w:val="20"/>
                <w:lang w:val="en-US"/>
              </w:rPr>
              <w:t>issues</w:t>
            </w:r>
            <w:proofErr w:type="gramEnd"/>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w:t>
            </w:r>
            <w:proofErr w:type="gramStart"/>
            <w:r w:rsidRPr="005837B5">
              <w:rPr>
                <w:rFonts w:eastAsia="Arial"/>
                <w:sz w:val="20"/>
                <w:szCs w:val="20"/>
                <w:lang w:val="en-US"/>
              </w:rPr>
              <w:t>tolerance</w:t>
            </w:r>
            <w:proofErr w:type="gramEnd"/>
            <w:r w:rsidRPr="005837B5">
              <w:rPr>
                <w:rFonts w:eastAsia="Arial"/>
                <w:sz w:val="20"/>
                <w:szCs w:val="20"/>
                <w:lang w:val="en-US"/>
              </w:rPr>
              <w:t xml:space="preserv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 xml:space="preserve">Perform all duties in a manner that supports and promotes HEE commitment to equal </w:t>
            </w:r>
            <w:proofErr w:type="gramStart"/>
            <w:r w:rsidRPr="005837B5">
              <w:rPr>
                <w:sz w:val="20"/>
                <w:szCs w:val="20"/>
              </w:rPr>
              <w:t>opportunities</w:t>
            </w:r>
            <w:proofErr w:type="gramEnd"/>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 xml:space="preserve">Conduct all duties in a manner that safeguards the health and safety of yourself and your colleagues, </w:t>
            </w:r>
            <w:proofErr w:type="gramStart"/>
            <w:r w:rsidRPr="005837B5">
              <w:rPr>
                <w:sz w:val="20"/>
                <w:szCs w:val="20"/>
              </w:rPr>
              <w:t>trainees</w:t>
            </w:r>
            <w:proofErr w:type="gramEnd"/>
            <w:r w:rsidRPr="005837B5">
              <w:rPr>
                <w:sz w:val="20"/>
                <w:szCs w:val="20"/>
              </w:rPr>
              <w:t xml:space="preserve">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w:t>
            </w:r>
            <w:proofErr w:type="gramStart"/>
            <w:r w:rsidRPr="0009710D">
              <w:rPr>
                <w:rFonts w:eastAsia="Arial"/>
                <w:sz w:val="20"/>
                <w:szCs w:val="20"/>
                <w:lang w:val="en-US"/>
              </w:rPr>
              <w:t>others</w:t>
            </w:r>
            <w:proofErr w:type="gramEnd"/>
            <w:r w:rsidRPr="0009710D">
              <w:rPr>
                <w:rFonts w:eastAsia="Arial"/>
                <w:sz w:val="20"/>
                <w:szCs w:val="20"/>
                <w:lang w:val="en-US"/>
              </w:rPr>
              <w:t xml:space="preserve">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w:t>
            </w:r>
            <w:proofErr w:type="gramStart"/>
            <w:r w:rsidRPr="0009710D">
              <w:rPr>
                <w:rFonts w:eastAsia="Arial"/>
                <w:sz w:val="20"/>
                <w:szCs w:val="20"/>
                <w:lang w:val="en-US"/>
              </w:rPr>
              <w:t>innovate</w:t>
            </w:r>
            <w:proofErr w:type="gramEnd"/>
            <w:r w:rsidRPr="0009710D">
              <w:rPr>
                <w:rFonts w:eastAsia="Arial"/>
                <w:sz w:val="20"/>
                <w:szCs w:val="20"/>
                <w:lang w:val="en-US"/>
              </w:rPr>
              <w:t xml:space="preserv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w:t>
            </w:r>
            <w:proofErr w:type="gramStart"/>
            <w:r w:rsidRPr="0009710D">
              <w:rPr>
                <w:rFonts w:eastAsia="Arial"/>
                <w:sz w:val="20"/>
                <w:szCs w:val="20"/>
                <w:lang w:val="en-US"/>
              </w:rPr>
              <w:t>uncertainty</w:t>
            </w:r>
            <w:proofErr w:type="gramEnd"/>
            <w:r w:rsidRPr="0009710D">
              <w:rPr>
                <w:rFonts w:eastAsia="Arial"/>
                <w:sz w:val="20"/>
                <w:szCs w:val="20"/>
                <w:lang w:val="en-US"/>
              </w:rPr>
              <w:t xml:space="preserve">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w:t>
            </w:r>
            <w:proofErr w:type="gramStart"/>
            <w:r w:rsidRPr="0009710D">
              <w:rPr>
                <w:rFonts w:eastAsia="Arial"/>
                <w:sz w:val="20"/>
                <w:szCs w:val="20"/>
                <w:lang w:val="en-US"/>
              </w:rPr>
              <w:t>objectivity</w:t>
            </w:r>
            <w:proofErr w:type="gramEnd"/>
            <w:r w:rsidRPr="0009710D">
              <w:rPr>
                <w:rFonts w:eastAsia="Arial"/>
                <w:sz w:val="20"/>
                <w:szCs w:val="20"/>
                <w:lang w:val="en-US"/>
              </w:rPr>
              <w:t xml:space="preserve">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w:t>
            </w:r>
            <w:proofErr w:type="gramStart"/>
            <w:r w:rsidRPr="0009710D">
              <w:rPr>
                <w:rFonts w:eastAsia="Arial"/>
                <w:sz w:val="20"/>
                <w:szCs w:val="20"/>
                <w:lang w:val="en-US"/>
              </w:rPr>
              <w:t>skills</w:t>
            </w:r>
            <w:proofErr w:type="gramEnd"/>
            <w:r w:rsidRPr="0009710D">
              <w:rPr>
                <w:rFonts w:eastAsia="Arial"/>
                <w:sz w:val="20"/>
                <w:szCs w:val="20"/>
                <w:lang w:val="en-US"/>
              </w:rPr>
              <w:t xml:space="preserve">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quickly establish personal and professional credibility with colleagues and other key </w:t>
            </w:r>
            <w:proofErr w:type="gramStart"/>
            <w:r w:rsidRPr="0009710D">
              <w:rPr>
                <w:rFonts w:eastAsia="Arial"/>
                <w:sz w:val="20"/>
                <w:szCs w:val="20"/>
                <w:lang w:val="en-US"/>
              </w:rPr>
              <w:t>stakeholders</w:t>
            </w:r>
            <w:proofErr w:type="gramEnd"/>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w:t>
            </w:r>
            <w:proofErr w:type="spellStart"/>
            <w:r w:rsidRPr="0009710D">
              <w:rPr>
                <w:rFonts w:eastAsia="Arial"/>
                <w:sz w:val="20"/>
                <w:szCs w:val="20"/>
                <w:lang w:val="en-US"/>
              </w:rPr>
              <w:t>organisational</w:t>
            </w:r>
            <w:proofErr w:type="spellEnd"/>
            <w:r w:rsidRPr="0009710D">
              <w:rPr>
                <w:rFonts w:eastAsia="Arial"/>
                <w:sz w:val="20"/>
                <w:szCs w:val="20"/>
                <w:lang w:val="en-US"/>
              </w:rPr>
              <w:t xml:space="preserve">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w:t>
            </w:r>
            <w:proofErr w:type="gramStart"/>
            <w:r w:rsidRPr="00B42E04">
              <w:rPr>
                <w:sz w:val="20"/>
                <w:szCs w:val="20"/>
              </w:rPr>
              <w:t>context</w:t>
            </w:r>
            <w:proofErr w:type="gramEnd"/>
            <w:r w:rsidRPr="00B42E04">
              <w:rPr>
                <w:sz w:val="20"/>
                <w:szCs w:val="20"/>
              </w:rPr>
              <w:t xml:space="preserve">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w:t>
            </w:r>
            <w:proofErr w:type="gramStart"/>
            <w:r w:rsidRPr="00B42E04">
              <w:rPr>
                <w:sz w:val="20"/>
                <w:szCs w:val="20"/>
              </w:rPr>
              <w:t>team</w:t>
            </w:r>
            <w:proofErr w:type="gramEnd"/>
            <w:r w:rsidRPr="00B42E04">
              <w:rPr>
                <w:sz w:val="20"/>
                <w:szCs w:val="20"/>
              </w:rPr>
              <w:t xml:space="preserve">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w:t>
            </w:r>
            <w:proofErr w:type="gramStart"/>
            <w:r w:rsidRPr="00B42E04">
              <w:rPr>
                <w:sz w:val="20"/>
                <w:szCs w:val="20"/>
              </w:rPr>
              <w:t>years</w:t>
            </w:r>
            <w:proofErr w:type="gramEnd"/>
            <w:r w:rsidRPr="00B42E04">
              <w:rPr>
                <w:sz w:val="20"/>
                <w:szCs w:val="20"/>
              </w:rPr>
              <w:t xml:space="preserve">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w:t>
            </w:r>
            <w:proofErr w:type="gramStart"/>
            <w:r w:rsidRPr="00B42E04">
              <w:rPr>
                <w:sz w:val="20"/>
                <w:szCs w:val="20"/>
              </w:rPr>
              <w:t>matters</w:t>
            </w:r>
            <w:proofErr w:type="gramEnd"/>
            <w:r w:rsidRPr="00B42E04">
              <w:rPr>
                <w:sz w:val="20"/>
                <w:szCs w:val="20"/>
              </w:rPr>
              <w:t xml:space="preserve">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 xml:space="preserve">Development of an effective network of communication and collaboration of all relevant stakeholders on a local, </w:t>
            </w:r>
            <w:proofErr w:type="gramStart"/>
            <w:r w:rsidRPr="005837B5">
              <w:rPr>
                <w:rFonts w:eastAsia="Arial"/>
                <w:sz w:val="20"/>
                <w:szCs w:val="20"/>
                <w:lang w:val="en-US"/>
              </w:rPr>
              <w:t>regional</w:t>
            </w:r>
            <w:proofErr w:type="gramEnd"/>
            <w:r w:rsidRPr="005837B5">
              <w:rPr>
                <w:rFonts w:eastAsia="Arial"/>
                <w:sz w:val="20"/>
                <w:szCs w:val="20"/>
                <w:lang w:val="en-US"/>
              </w:rPr>
              <w:t xml:space="preserve">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w:t>
            </w:r>
            <w:proofErr w:type="gramStart"/>
            <w:r w:rsidRPr="003A7BA9">
              <w:rPr>
                <w:rFonts w:eastAsia="Arial"/>
                <w:sz w:val="20"/>
                <w:szCs w:val="20"/>
                <w:lang w:val="en-US"/>
              </w:rPr>
              <w:t>office</w:t>
            </w:r>
            <w:proofErr w:type="gramEnd"/>
            <w:r w:rsidRPr="003A7BA9">
              <w:rPr>
                <w:rFonts w:eastAsia="Arial"/>
                <w:sz w:val="20"/>
                <w:szCs w:val="20"/>
                <w:lang w:val="en-US"/>
              </w:rPr>
              <w:t xml:space="preserv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w:t>
            </w:r>
            <w:proofErr w:type="spellStart"/>
            <w:r w:rsidRPr="003A7BA9">
              <w:rPr>
                <w:rFonts w:eastAsia="Arial"/>
                <w:sz w:val="20"/>
                <w:szCs w:val="20"/>
                <w:lang w:val="en-US"/>
              </w:rPr>
              <w:t>Programme</w:t>
            </w:r>
            <w:proofErr w:type="spellEnd"/>
            <w:r w:rsidRPr="003A7BA9">
              <w:rPr>
                <w:rFonts w:eastAsia="Arial"/>
                <w:sz w:val="20"/>
                <w:szCs w:val="20"/>
                <w:lang w:val="en-US"/>
              </w:rPr>
              <w:t xml:space="preserve"> Directors, including </w:t>
            </w:r>
            <w:proofErr w:type="spellStart"/>
            <w:r w:rsidRPr="003A7BA9">
              <w:rPr>
                <w:rFonts w:eastAsia="Arial"/>
                <w:sz w:val="20"/>
                <w:szCs w:val="20"/>
                <w:lang w:val="en-US"/>
              </w:rPr>
              <w:t>Defence</w:t>
            </w:r>
            <w:proofErr w:type="spellEnd"/>
            <w:r w:rsidRPr="003A7BA9">
              <w:rPr>
                <w:rFonts w:eastAsia="Arial"/>
                <w:sz w:val="20"/>
                <w:szCs w:val="20"/>
                <w:lang w:val="en-US"/>
              </w:rPr>
              <w:t xml:space="preserve"> Deanery leads where </w:t>
            </w:r>
            <w:proofErr w:type="gramStart"/>
            <w:r w:rsidRPr="003A7BA9">
              <w:rPr>
                <w:rFonts w:eastAsia="Arial"/>
                <w:sz w:val="20"/>
                <w:szCs w:val="20"/>
                <w:lang w:val="en-US"/>
              </w:rPr>
              <w:t>appropriate</w:t>
            </w:r>
            <w:proofErr w:type="gramEnd"/>
            <w:r w:rsidRPr="003A7BA9">
              <w:rPr>
                <w:rFonts w:eastAsia="Arial"/>
                <w:sz w:val="20"/>
                <w:szCs w:val="20"/>
                <w:lang w:val="en-US"/>
              </w:rPr>
              <w:t xml:space="preserv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w:t>
            </w:r>
            <w:proofErr w:type="spellStart"/>
            <w:r w:rsidRPr="005837B5">
              <w:rPr>
                <w:rFonts w:eastAsia="Arial"/>
                <w:sz w:val="20"/>
                <w:szCs w:val="20"/>
                <w:lang w:val="en-US"/>
              </w:rPr>
              <w:t>programmes</w:t>
            </w:r>
            <w:proofErr w:type="spellEnd"/>
            <w:r w:rsidRPr="005837B5">
              <w:rPr>
                <w:rFonts w:eastAsia="Arial"/>
                <w:sz w:val="20"/>
                <w:szCs w:val="20"/>
                <w:lang w:val="en-US"/>
              </w:rPr>
              <w:t xml:space="preserve"> in </w:t>
            </w:r>
            <w:r w:rsidR="00B81CC4">
              <w:rPr>
                <w:rFonts w:eastAsia="Arial"/>
                <w:sz w:val="20"/>
                <w:szCs w:val="20"/>
                <w:lang w:val="en-US"/>
              </w:rPr>
              <w:t xml:space="preserve">the </w:t>
            </w:r>
            <w:r w:rsidR="005676D4">
              <w:rPr>
                <w:rFonts w:eastAsia="Arial"/>
                <w:sz w:val="20"/>
                <w:szCs w:val="20"/>
                <w:lang w:val="en-US"/>
              </w:rPr>
              <w:t xml:space="preserve">Thames </w:t>
            </w:r>
            <w:proofErr w:type="gramStart"/>
            <w:r w:rsidR="005676D4">
              <w:rPr>
                <w:rFonts w:eastAsia="Arial"/>
                <w:sz w:val="20"/>
                <w:szCs w:val="20"/>
                <w:lang w:val="en-US"/>
              </w:rPr>
              <w:t>Valley</w:t>
            </w:r>
            <w:proofErr w:type="gramEnd"/>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 xml:space="preserve">Commitment to national vision, </w:t>
            </w:r>
            <w:proofErr w:type="gramStart"/>
            <w:r w:rsidRPr="005837B5">
              <w:rPr>
                <w:rFonts w:eastAsia="Arial"/>
                <w:sz w:val="20"/>
                <w:szCs w:val="20"/>
                <w:lang w:val="en-US"/>
              </w:rPr>
              <w:t>policies</w:t>
            </w:r>
            <w:proofErr w:type="gramEnd"/>
            <w:r w:rsidRPr="005837B5">
              <w:rPr>
                <w:rFonts w:eastAsia="Arial"/>
                <w:sz w:val="20"/>
                <w:szCs w:val="20"/>
                <w:lang w:val="en-US"/>
              </w:rPr>
              <w:t xml:space="preserve">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 xml:space="preserve">Ensuring that objectives are met within budget and proportionate contribution to budget savings when </w:t>
            </w:r>
            <w:proofErr w:type="gramStart"/>
            <w:r w:rsidRPr="005837B5">
              <w:rPr>
                <w:rFonts w:eastAsia="Arial"/>
                <w:sz w:val="20"/>
                <w:szCs w:val="20"/>
                <w:lang w:val="en-US"/>
              </w:rPr>
              <w:t>required</w:t>
            </w:r>
            <w:proofErr w:type="gramEnd"/>
          </w:p>
          <w:p w14:paraId="7CC731B4" w14:textId="77777777" w:rsidR="003A7BA9" w:rsidRDefault="003A7BA9" w:rsidP="00B61F4B">
            <w:pPr>
              <w:pStyle w:val="ListParagraph"/>
              <w:numPr>
                <w:ilvl w:val="0"/>
                <w:numId w:val="8"/>
              </w:numPr>
              <w:rPr>
                <w:sz w:val="20"/>
                <w:szCs w:val="20"/>
              </w:rPr>
            </w:pPr>
            <w:r>
              <w:rPr>
                <w:sz w:val="20"/>
                <w:szCs w:val="20"/>
              </w:rPr>
              <w:t xml:space="preserve">Ensuring that Code of Practice Guidelines are </w:t>
            </w:r>
            <w:proofErr w:type="gramStart"/>
            <w:r>
              <w:rPr>
                <w:sz w:val="20"/>
                <w:szCs w:val="20"/>
              </w:rPr>
              <w:t>met</w:t>
            </w:r>
            <w:proofErr w:type="gramEnd"/>
          </w:p>
          <w:p w14:paraId="01E3F904" w14:textId="437862D2" w:rsidR="0021217D" w:rsidRPr="005837B5" w:rsidRDefault="0021217D" w:rsidP="00B61F4B">
            <w:pPr>
              <w:pStyle w:val="ListParagraph"/>
              <w:numPr>
                <w:ilvl w:val="0"/>
                <w:numId w:val="8"/>
              </w:numPr>
              <w:rPr>
                <w:sz w:val="20"/>
                <w:szCs w:val="20"/>
              </w:rPr>
            </w:pPr>
            <w:r>
              <w:rPr>
                <w:sz w:val="20"/>
                <w:szCs w:val="20"/>
              </w:rPr>
              <w:t xml:space="preserve">Giving accurate guidance to trainees on OOP / IDT’s / LTFT / Acting </w:t>
            </w:r>
            <w:proofErr w:type="gramStart"/>
            <w:r>
              <w:rPr>
                <w:sz w:val="20"/>
                <w:szCs w:val="20"/>
              </w:rPr>
              <w:t>up  applications</w:t>
            </w:r>
            <w:proofErr w:type="gramEnd"/>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proofErr w:type="gramStart"/>
            <w:r w:rsidRPr="005837B5">
              <w:rPr>
                <w:b/>
                <w:color w:val="0070C0"/>
                <w:sz w:val="20"/>
                <w:szCs w:val="20"/>
              </w:rPr>
              <w:t>What’s</w:t>
            </w:r>
            <w:proofErr w:type="gramEnd"/>
            <w:r w:rsidRPr="005837B5">
              <w:rPr>
                <w:b/>
                <w:color w:val="0070C0"/>
                <w:sz w:val="20"/>
                <w:szCs w:val="20"/>
              </w:rPr>
              <w:t xml:space="preserve">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w:t>
            </w:r>
            <w:proofErr w:type="gramStart"/>
            <w:r w:rsidR="000A6F5D" w:rsidRPr="00D1665A">
              <w:rPr>
                <w:sz w:val="20"/>
                <w:szCs w:val="20"/>
              </w:rPr>
              <w:t>future</w:t>
            </w:r>
            <w:proofErr w:type="gramEnd"/>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 xml:space="preserve">As an NHS employer the following terms and conditions apply to this </w:t>
            </w:r>
            <w:proofErr w:type="gramStart"/>
            <w:r w:rsidRPr="005837B5">
              <w:rPr>
                <w:sz w:val="20"/>
                <w:szCs w:val="20"/>
              </w:rPr>
              <w:t>post:-</w:t>
            </w:r>
            <w:proofErr w:type="gramEnd"/>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7B109ACD"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2E648D">
              <w:rPr>
                <w:rFonts w:eastAsia="Arial"/>
                <w:sz w:val="20"/>
                <w:szCs w:val="20"/>
                <w:lang w:val="en-US"/>
              </w:rPr>
              <w:t>£</w:t>
            </w:r>
            <w:r w:rsidR="00D32E1C">
              <w:rPr>
                <w:rFonts w:eastAsia="Arial"/>
                <w:sz w:val="20"/>
                <w:szCs w:val="20"/>
                <w:lang w:val="en-US"/>
              </w:rPr>
              <w:t>2.5</w:t>
            </w:r>
            <w:r w:rsidR="002E648D">
              <w:rPr>
                <w:rFonts w:eastAsia="Arial"/>
                <w:sz w:val="20"/>
                <w:szCs w:val="20"/>
                <w:lang w:val="en-US"/>
              </w:rPr>
              <w:t>K</w:t>
            </w:r>
            <w:r>
              <w:rPr>
                <w:rFonts w:eastAsia="Arial"/>
                <w:sz w:val="20"/>
                <w:szCs w:val="20"/>
                <w:lang w:val="en-US"/>
              </w:rPr>
              <w:t xml:space="preserve"> per </w:t>
            </w:r>
            <w:proofErr w:type="gramStart"/>
            <w:r>
              <w:rPr>
                <w:rFonts w:eastAsia="Arial"/>
                <w:sz w:val="20"/>
                <w:szCs w:val="20"/>
                <w:lang w:val="en-US"/>
              </w:rPr>
              <w:t>annum</w:t>
            </w:r>
            <w:proofErr w:type="gramEnd"/>
          </w:p>
          <w:p w14:paraId="194CB69C" w14:textId="77777777" w:rsidR="003C7F7D" w:rsidRPr="005837B5" w:rsidRDefault="003C7F7D" w:rsidP="004C35EB">
            <w:pPr>
              <w:spacing w:after="0"/>
              <w:rPr>
                <w:sz w:val="20"/>
                <w:szCs w:val="20"/>
              </w:rPr>
            </w:pPr>
          </w:p>
        </w:tc>
      </w:tr>
      <w:tr w:rsidR="00647FD3" w:rsidRPr="005837B5" w14:paraId="1998042F" w14:textId="77777777" w:rsidTr="008179B6">
        <w:trPr>
          <w:trHeight w:val="701"/>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 xml:space="preserve">Based </w:t>
            </w:r>
            <w:proofErr w:type="gramStart"/>
            <w:r w:rsidRPr="576287E9">
              <w:rPr>
                <w:rFonts w:eastAsia="Arial"/>
                <w:sz w:val="20"/>
                <w:szCs w:val="20"/>
                <w:lang w:val="en-US"/>
              </w:rPr>
              <w:t>from</w:t>
            </w:r>
            <w:proofErr w:type="gramEnd"/>
            <w:r w:rsidRPr="576287E9">
              <w:rPr>
                <w:rFonts w:eastAsia="Arial"/>
                <w:sz w:val="20"/>
                <w:szCs w:val="20"/>
                <w:lang w:val="en-US"/>
              </w:rPr>
              <w:t xml:space="preserve">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08691D40" w:rsidR="00723F68" w:rsidRPr="005837B5" w:rsidRDefault="00D32E1C" w:rsidP="576287E9">
            <w:pPr>
              <w:rPr>
                <w:sz w:val="20"/>
                <w:szCs w:val="20"/>
              </w:rPr>
            </w:pPr>
            <w:r>
              <w:rPr>
                <w:rFonts w:eastAsia="Arial"/>
                <w:sz w:val="20"/>
                <w:szCs w:val="20"/>
                <w:lang w:val="en-US"/>
              </w:rPr>
              <w:t>0.25</w:t>
            </w:r>
            <w:r w:rsidR="005B55E9">
              <w:rPr>
                <w:rFonts w:eastAsia="Arial"/>
                <w:sz w:val="20"/>
                <w:szCs w:val="20"/>
                <w:lang w:val="en-US"/>
              </w:rPr>
              <w:t xml:space="preserve"> </w:t>
            </w:r>
            <w:r w:rsidR="576287E9" w:rsidRPr="576287E9">
              <w:rPr>
                <w:rFonts w:eastAsia="Arial"/>
                <w:sz w:val="20"/>
                <w:szCs w:val="20"/>
                <w:lang w:val="en-US"/>
              </w:rPr>
              <w:t>EM</w:t>
            </w:r>
            <w:r w:rsidR="006D1F01">
              <w:rPr>
                <w:rFonts w:eastAsia="Arial"/>
                <w:sz w:val="20"/>
                <w:szCs w:val="20"/>
                <w:lang w:val="en-US"/>
              </w:rPr>
              <w:t>C</w:t>
            </w:r>
            <w:r w:rsidR="576287E9" w:rsidRPr="576287E9">
              <w:rPr>
                <w:rFonts w:eastAsia="Arial"/>
                <w:sz w:val="20"/>
                <w:szCs w:val="20"/>
                <w:lang w:val="en-US"/>
              </w:rPr>
              <w:t xml:space="preserve"> per week </w:t>
            </w:r>
            <w:r w:rsidR="006E5BC9">
              <w:rPr>
                <w:rFonts w:eastAsia="Arial"/>
                <w:sz w:val="20"/>
                <w:szCs w:val="20"/>
                <w:lang w:val="en-US"/>
              </w:rPr>
              <w:t>(</w:t>
            </w:r>
            <w:r w:rsidR="00E8407B">
              <w:rPr>
                <w:rFonts w:eastAsia="Arial"/>
                <w:sz w:val="20"/>
                <w:szCs w:val="20"/>
                <w:lang w:val="en-US"/>
              </w:rPr>
              <w:t>1</w:t>
            </w:r>
            <w:r w:rsidR="00CB26E2">
              <w:rPr>
                <w:rFonts w:eastAsia="Arial"/>
                <w:sz w:val="20"/>
                <w:szCs w:val="20"/>
                <w:lang w:val="en-US"/>
              </w:rPr>
              <w:t xml:space="preserve"> </w:t>
            </w:r>
            <w:r w:rsidR="006E5BC9">
              <w:rPr>
                <w:rFonts w:eastAsia="Arial"/>
                <w:sz w:val="20"/>
                <w:szCs w:val="20"/>
                <w:lang w:val="en-US"/>
              </w:rPr>
              <w:t>hour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proofErr w:type="gramStart"/>
            <w:r w:rsidRPr="005837B5">
              <w:rPr>
                <w:sz w:val="20"/>
                <w:szCs w:val="20"/>
              </w:rPr>
              <w:t>We’ll</w:t>
            </w:r>
            <w:proofErr w:type="gramEnd"/>
            <w:r w:rsidRPr="005837B5">
              <w:rPr>
                <w:sz w:val="20"/>
                <w:szCs w:val="20"/>
              </w:rPr>
              <w:t xml:space="preserve">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 xml:space="preserve">When you join, </w:t>
            </w:r>
            <w:proofErr w:type="gramStart"/>
            <w:r w:rsidRPr="005837B5">
              <w:rPr>
                <w:sz w:val="20"/>
                <w:szCs w:val="20"/>
              </w:rPr>
              <w:t>you’ll</w:t>
            </w:r>
            <w:proofErr w:type="gramEnd"/>
            <w:r w:rsidRPr="005837B5">
              <w:rPr>
                <w:sz w:val="20"/>
                <w:szCs w:val="20"/>
              </w:rPr>
              <w:t xml:space="preserve"> receive an induction and have the opportunity to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 xml:space="preserve">Our learning and development strategy includes all the </w:t>
            </w:r>
            <w:proofErr w:type="gramStart"/>
            <w:r w:rsidRPr="005837B5">
              <w:rPr>
                <w:sz w:val="20"/>
                <w:szCs w:val="20"/>
              </w:rPr>
              <w:t>ways</w:t>
            </w:r>
            <w:proofErr w:type="gramEnd"/>
            <w:r w:rsidRPr="005837B5">
              <w:rPr>
                <w:sz w:val="20"/>
                <w:szCs w:val="20"/>
              </w:rPr>
              <w:t xml:space="preserve">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6BCB" w14:textId="77777777" w:rsidR="00E01279" w:rsidRDefault="00E01279" w:rsidP="00ED07E7">
      <w:pPr>
        <w:spacing w:after="0"/>
      </w:pPr>
      <w:r>
        <w:separator/>
      </w:r>
    </w:p>
  </w:endnote>
  <w:endnote w:type="continuationSeparator" w:id="0">
    <w:p w14:paraId="22754B88" w14:textId="77777777" w:rsidR="00E01279" w:rsidRDefault="00E01279"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FF78" w14:textId="77777777" w:rsidR="00E01279" w:rsidRDefault="00E01279" w:rsidP="00ED07E7">
      <w:pPr>
        <w:spacing w:after="0"/>
      </w:pPr>
      <w:r>
        <w:separator/>
      </w:r>
    </w:p>
  </w:footnote>
  <w:footnote w:type="continuationSeparator" w:id="0">
    <w:p w14:paraId="1C6E8EA4" w14:textId="77777777" w:rsidR="00E01279" w:rsidRDefault="00E01279"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80"/>
  </w:num>
  <w:num w:numId="4">
    <w:abstractNumId w:val="66"/>
  </w:num>
  <w:num w:numId="5">
    <w:abstractNumId w:val="73"/>
  </w:num>
  <w:num w:numId="6">
    <w:abstractNumId w:val="27"/>
  </w:num>
  <w:num w:numId="7">
    <w:abstractNumId w:val="15"/>
  </w:num>
  <w:num w:numId="8">
    <w:abstractNumId w:val="55"/>
  </w:num>
  <w:num w:numId="9">
    <w:abstractNumId w:val="52"/>
  </w:num>
  <w:num w:numId="10">
    <w:abstractNumId w:val="83"/>
  </w:num>
  <w:num w:numId="11">
    <w:abstractNumId w:val="78"/>
  </w:num>
  <w:num w:numId="12">
    <w:abstractNumId w:val="71"/>
  </w:num>
  <w:num w:numId="13">
    <w:abstractNumId w:val="53"/>
  </w:num>
  <w:num w:numId="14">
    <w:abstractNumId w:val="48"/>
  </w:num>
  <w:num w:numId="15">
    <w:abstractNumId w:val="42"/>
  </w:num>
  <w:num w:numId="16">
    <w:abstractNumId w:val="64"/>
  </w:num>
  <w:num w:numId="17">
    <w:abstractNumId w:val="11"/>
  </w:num>
  <w:num w:numId="18">
    <w:abstractNumId w:val="10"/>
  </w:num>
  <w:num w:numId="19">
    <w:abstractNumId w:val="22"/>
  </w:num>
  <w:num w:numId="20">
    <w:abstractNumId w:val="62"/>
  </w:num>
  <w:num w:numId="21">
    <w:abstractNumId w:val="25"/>
  </w:num>
  <w:num w:numId="22">
    <w:abstractNumId w:val="30"/>
  </w:num>
  <w:num w:numId="23">
    <w:abstractNumId w:val="2"/>
  </w:num>
  <w:num w:numId="24">
    <w:abstractNumId w:val="14"/>
  </w:num>
  <w:num w:numId="25">
    <w:abstractNumId w:val="19"/>
  </w:num>
  <w:num w:numId="26">
    <w:abstractNumId w:val="24"/>
  </w:num>
  <w:num w:numId="27">
    <w:abstractNumId w:val="4"/>
  </w:num>
  <w:num w:numId="28">
    <w:abstractNumId w:val="9"/>
  </w:num>
  <w:num w:numId="29">
    <w:abstractNumId w:val="76"/>
  </w:num>
  <w:num w:numId="30">
    <w:abstractNumId w:val="67"/>
  </w:num>
  <w:num w:numId="31">
    <w:abstractNumId w:val="17"/>
  </w:num>
  <w:num w:numId="32">
    <w:abstractNumId w:val="28"/>
  </w:num>
  <w:num w:numId="33">
    <w:abstractNumId w:val="56"/>
  </w:num>
  <w:num w:numId="34">
    <w:abstractNumId w:val="57"/>
  </w:num>
  <w:num w:numId="35">
    <w:abstractNumId w:val="65"/>
  </w:num>
  <w:num w:numId="36">
    <w:abstractNumId w:val="18"/>
  </w:num>
  <w:num w:numId="37">
    <w:abstractNumId w:val="21"/>
  </w:num>
  <w:num w:numId="38">
    <w:abstractNumId w:val="20"/>
  </w:num>
  <w:num w:numId="39">
    <w:abstractNumId w:val="50"/>
  </w:num>
  <w:num w:numId="40">
    <w:abstractNumId w:val="34"/>
  </w:num>
  <w:num w:numId="41">
    <w:abstractNumId w:val="68"/>
  </w:num>
  <w:num w:numId="42">
    <w:abstractNumId w:val="33"/>
  </w:num>
  <w:num w:numId="43">
    <w:abstractNumId w:val="12"/>
  </w:num>
  <w:num w:numId="44">
    <w:abstractNumId w:val="60"/>
  </w:num>
  <w:num w:numId="45">
    <w:abstractNumId w:val="38"/>
  </w:num>
  <w:num w:numId="46">
    <w:abstractNumId w:val="0"/>
  </w:num>
  <w:num w:numId="47">
    <w:abstractNumId w:val="75"/>
  </w:num>
  <w:num w:numId="48">
    <w:abstractNumId w:val="29"/>
  </w:num>
  <w:num w:numId="49">
    <w:abstractNumId w:val="72"/>
  </w:num>
  <w:num w:numId="50">
    <w:abstractNumId w:val="81"/>
  </w:num>
  <w:num w:numId="51">
    <w:abstractNumId w:val="44"/>
  </w:num>
  <w:num w:numId="52">
    <w:abstractNumId w:val="16"/>
  </w:num>
  <w:num w:numId="53">
    <w:abstractNumId w:val="72"/>
  </w:num>
  <w:num w:numId="54">
    <w:abstractNumId w:val="74"/>
  </w:num>
  <w:num w:numId="55">
    <w:abstractNumId w:val="59"/>
  </w:num>
  <w:num w:numId="56">
    <w:abstractNumId w:val="46"/>
  </w:num>
  <w:num w:numId="57">
    <w:abstractNumId w:val="45"/>
  </w:num>
  <w:num w:numId="58">
    <w:abstractNumId w:val="1"/>
  </w:num>
  <w:num w:numId="59">
    <w:abstractNumId w:val="82"/>
  </w:num>
  <w:num w:numId="60">
    <w:abstractNumId w:val="58"/>
  </w:num>
  <w:num w:numId="61">
    <w:abstractNumId w:val="3"/>
  </w:num>
  <w:num w:numId="62">
    <w:abstractNumId w:val="23"/>
  </w:num>
  <w:num w:numId="63">
    <w:abstractNumId w:val="5"/>
  </w:num>
  <w:num w:numId="64">
    <w:abstractNumId w:val="69"/>
  </w:num>
  <w:num w:numId="65">
    <w:abstractNumId w:val="70"/>
  </w:num>
  <w:num w:numId="66">
    <w:abstractNumId w:val="49"/>
  </w:num>
  <w:num w:numId="67">
    <w:abstractNumId w:val="51"/>
  </w:num>
  <w:num w:numId="68">
    <w:abstractNumId w:val="31"/>
  </w:num>
  <w:num w:numId="69">
    <w:abstractNumId w:val="41"/>
  </w:num>
  <w:num w:numId="70">
    <w:abstractNumId w:val="63"/>
  </w:num>
  <w:num w:numId="71">
    <w:abstractNumId w:val="32"/>
  </w:num>
  <w:num w:numId="72">
    <w:abstractNumId w:val="47"/>
  </w:num>
  <w:num w:numId="73">
    <w:abstractNumId w:val="8"/>
  </w:num>
  <w:num w:numId="74">
    <w:abstractNumId w:val="79"/>
  </w:num>
  <w:num w:numId="75">
    <w:abstractNumId w:val="6"/>
  </w:num>
  <w:num w:numId="76">
    <w:abstractNumId w:val="35"/>
  </w:num>
  <w:num w:numId="77">
    <w:abstractNumId w:val="39"/>
  </w:num>
  <w:num w:numId="78">
    <w:abstractNumId w:val="37"/>
  </w:num>
  <w:num w:numId="79">
    <w:abstractNumId w:val="43"/>
  </w:num>
  <w:num w:numId="80">
    <w:abstractNumId w:val="26"/>
  </w:num>
  <w:num w:numId="81">
    <w:abstractNumId w:val="54"/>
  </w:num>
  <w:num w:numId="82">
    <w:abstractNumId w:val="13"/>
  </w:num>
  <w:num w:numId="83">
    <w:abstractNumId w:val="61"/>
  </w:num>
  <w:num w:numId="84">
    <w:abstractNumId w:val="77"/>
  </w:num>
  <w:num w:numId="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777E5"/>
    <w:rsid w:val="0009710D"/>
    <w:rsid w:val="000A2EF4"/>
    <w:rsid w:val="000A6F5D"/>
    <w:rsid w:val="000D11F8"/>
    <w:rsid w:val="00100941"/>
    <w:rsid w:val="00106739"/>
    <w:rsid w:val="0011341E"/>
    <w:rsid w:val="0014038C"/>
    <w:rsid w:val="00154856"/>
    <w:rsid w:val="00161E95"/>
    <w:rsid w:val="00171D0D"/>
    <w:rsid w:val="001867BE"/>
    <w:rsid w:val="001924DB"/>
    <w:rsid w:val="001A37D7"/>
    <w:rsid w:val="001B380A"/>
    <w:rsid w:val="001D427D"/>
    <w:rsid w:val="001E590C"/>
    <w:rsid w:val="001F0393"/>
    <w:rsid w:val="002045D6"/>
    <w:rsid w:val="002052E0"/>
    <w:rsid w:val="0021217D"/>
    <w:rsid w:val="002159BE"/>
    <w:rsid w:val="0021786D"/>
    <w:rsid w:val="002228B2"/>
    <w:rsid w:val="00222F82"/>
    <w:rsid w:val="0022369B"/>
    <w:rsid w:val="00225841"/>
    <w:rsid w:val="0024558B"/>
    <w:rsid w:val="00252046"/>
    <w:rsid w:val="002631E5"/>
    <w:rsid w:val="00264AC3"/>
    <w:rsid w:val="00280DEF"/>
    <w:rsid w:val="002844EB"/>
    <w:rsid w:val="002855BD"/>
    <w:rsid w:val="002A7257"/>
    <w:rsid w:val="002C690C"/>
    <w:rsid w:val="002E648D"/>
    <w:rsid w:val="003231A8"/>
    <w:rsid w:val="00323248"/>
    <w:rsid w:val="00326A00"/>
    <w:rsid w:val="00334FAA"/>
    <w:rsid w:val="003368DB"/>
    <w:rsid w:val="003421EB"/>
    <w:rsid w:val="003627ED"/>
    <w:rsid w:val="00371EE7"/>
    <w:rsid w:val="00371EEF"/>
    <w:rsid w:val="00384691"/>
    <w:rsid w:val="003966A5"/>
    <w:rsid w:val="00396E5E"/>
    <w:rsid w:val="003A7BA9"/>
    <w:rsid w:val="003B3B38"/>
    <w:rsid w:val="003B5102"/>
    <w:rsid w:val="003C7F7D"/>
    <w:rsid w:val="003E2619"/>
    <w:rsid w:val="00400A31"/>
    <w:rsid w:val="004015A1"/>
    <w:rsid w:val="00412451"/>
    <w:rsid w:val="00421330"/>
    <w:rsid w:val="00424387"/>
    <w:rsid w:val="00445B0B"/>
    <w:rsid w:val="00446171"/>
    <w:rsid w:val="00447706"/>
    <w:rsid w:val="00454408"/>
    <w:rsid w:val="00476DBD"/>
    <w:rsid w:val="00492D50"/>
    <w:rsid w:val="004A2FBA"/>
    <w:rsid w:val="004C06F3"/>
    <w:rsid w:val="004C35EB"/>
    <w:rsid w:val="004D0DC6"/>
    <w:rsid w:val="004E362D"/>
    <w:rsid w:val="004E6FBB"/>
    <w:rsid w:val="004F3543"/>
    <w:rsid w:val="005040B7"/>
    <w:rsid w:val="00505AF1"/>
    <w:rsid w:val="005115CE"/>
    <w:rsid w:val="00533720"/>
    <w:rsid w:val="005676D4"/>
    <w:rsid w:val="005738AB"/>
    <w:rsid w:val="005814EB"/>
    <w:rsid w:val="005837B5"/>
    <w:rsid w:val="00587170"/>
    <w:rsid w:val="00596268"/>
    <w:rsid w:val="005B13FF"/>
    <w:rsid w:val="005B3198"/>
    <w:rsid w:val="005B55E9"/>
    <w:rsid w:val="005C046D"/>
    <w:rsid w:val="005F72B8"/>
    <w:rsid w:val="006045C4"/>
    <w:rsid w:val="00610194"/>
    <w:rsid w:val="00611BA0"/>
    <w:rsid w:val="00636F58"/>
    <w:rsid w:val="00647FD3"/>
    <w:rsid w:val="00653BCB"/>
    <w:rsid w:val="006620E3"/>
    <w:rsid w:val="0067529B"/>
    <w:rsid w:val="006A1483"/>
    <w:rsid w:val="006A26FB"/>
    <w:rsid w:val="006C0468"/>
    <w:rsid w:val="006C783B"/>
    <w:rsid w:val="006D1F01"/>
    <w:rsid w:val="006E5BC9"/>
    <w:rsid w:val="006E7D38"/>
    <w:rsid w:val="006F14EC"/>
    <w:rsid w:val="006F4998"/>
    <w:rsid w:val="007045D3"/>
    <w:rsid w:val="007219CD"/>
    <w:rsid w:val="00723F68"/>
    <w:rsid w:val="00733802"/>
    <w:rsid w:val="00734D41"/>
    <w:rsid w:val="007421FE"/>
    <w:rsid w:val="007735E5"/>
    <w:rsid w:val="00776699"/>
    <w:rsid w:val="00776BA2"/>
    <w:rsid w:val="0079450C"/>
    <w:rsid w:val="007955ED"/>
    <w:rsid w:val="00796397"/>
    <w:rsid w:val="007A1FBF"/>
    <w:rsid w:val="007B0685"/>
    <w:rsid w:val="007B1F89"/>
    <w:rsid w:val="007C0D70"/>
    <w:rsid w:val="007C2C35"/>
    <w:rsid w:val="007D2981"/>
    <w:rsid w:val="007F4ECC"/>
    <w:rsid w:val="00803695"/>
    <w:rsid w:val="00813E5E"/>
    <w:rsid w:val="008179B6"/>
    <w:rsid w:val="008207F8"/>
    <w:rsid w:val="00843460"/>
    <w:rsid w:val="00867623"/>
    <w:rsid w:val="0087381B"/>
    <w:rsid w:val="008863A6"/>
    <w:rsid w:val="008940C5"/>
    <w:rsid w:val="008973A3"/>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22E50"/>
    <w:rsid w:val="00A36699"/>
    <w:rsid w:val="00A50324"/>
    <w:rsid w:val="00A506C6"/>
    <w:rsid w:val="00A72666"/>
    <w:rsid w:val="00A74203"/>
    <w:rsid w:val="00AB17D8"/>
    <w:rsid w:val="00AC2EC6"/>
    <w:rsid w:val="00AE1EA2"/>
    <w:rsid w:val="00AE7A8E"/>
    <w:rsid w:val="00AF7E36"/>
    <w:rsid w:val="00B151CA"/>
    <w:rsid w:val="00B35EFC"/>
    <w:rsid w:val="00B411D7"/>
    <w:rsid w:val="00B42E04"/>
    <w:rsid w:val="00B61F4B"/>
    <w:rsid w:val="00B6279E"/>
    <w:rsid w:val="00B70AD6"/>
    <w:rsid w:val="00B81CC4"/>
    <w:rsid w:val="00B8762E"/>
    <w:rsid w:val="00B900CF"/>
    <w:rsid w:val="00B927A7"/>
    <w:rsid w:val="00B941E6"/>
    <w:rsid w:val="00BA25C9"/>
    <w:rsid w:val="00BA6A12"/>
    <w:rsid w:val="00BB177D"/>
    <w:rsid w:val="00C040E9"/>
    <w:rsid w:val="00C150D5"/>
    <w:rsid w:val="00C266B7"/>
    <w:rsid w:val="00C27B68"/>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B26E2"/>
    <w:rsid w:val="00CD24A3"/>
    <w:rsid w:val="00CD251F"/>
    <w:rsid w:val="00CD51D0"/>
    <w:rsid w:val="00CF5052"/>
    <w:rsid w:val="00D104C0"/>
    <w:rsid w:val="00D12983"/>
    <w:rsid w:val="00D12AC4"/>
    <w:rsid w:val="00D1665A"/>
    <w:rsid w:val="00D23864"/>
    <w:rsid w:val="00D31271"/>
    <w:rsid w:val="00D32E1C"/>
    <w:rsid w:val="00D520AA"/>
    <w:rsid w:val="00D52EF3"/>
    <w:rsid w:val="00D70E79"/>
    <w:rsid w:val="00D72D66"/>
    <w:rsid w:val="00D73400"/>
    <w:rsid w:val="00D86D62"/>
    <w:rsid w:val="00D9349B"/>
    <w:rsid w:val="00DA456F"/>
    <w:rsid w:val="00DB29BF"/>
    <w:rsid w:val="00E01279"/>
    <w:rsid w:val="00E020D1"/>
    <w:rsid w:val="00E028D4"/>
    <w:rsid w:val="00E02979"/>
    <w:rsid w:val="00E0601B"/>
    <w:rsid w:val="00E23C09"/>
    <w:rsid w:val="00E33CC4"/>
    <w:rsid w:val="00E41FBD"/>
    <w:rsid w:val="00E527EE"/>
    <w:rsid w:val="00E5796C"/>
    <w:rsid w:val="00E75129"/>
    <w:rsid w:val="00E76104"/>
    <w:rsid w:val="00E82CFE"/>
    <w:rsid w:val="00E8407B"/>
    <w:rsid w:val="00EA1C08"/>
    <w:rsid w:val="00ED07E7"/>
    <w:rsid w:val="00EE6A2C"/>
    <w:rsid w:val="00F06225"/>
    <w:rsid w:val="00F10E87"/>
    <w:rsid w:val="00F20555"/>
    <w:rsid w:val="00F20BAE"/>
    <w:rsid w:val="00F22D33"/>
    <w:rsid w:val="00F42A31"/>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2.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11404</Characters>
  <Application>Microsoft Office Word</Application>
  <DocSecurity>0</DocSecurity>
  <Lines>95</Lines>
  <Paragraphs>26</Paragraphs>
  <ScaleCrop>false</ScaleCrop>
  <Company>West Midlands Strategic Health Authority</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2</cp:revision>
  <cp:lastPrinted>2019-01-30T11:31:00Z</cp:lastPrinted>
  <dcterms:created xsi:type="dcterms:W3CDTF">2021-06-30T12:54:00Z</dcterms:created>
  <dcterms:modified xsi:type="dcterms:W3CDTF">2021-06-30T12:54:00Z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