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47E4A" w14:textId="77777777" w:rsidR="00843433" w:rsidRDefault="003C7837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  <w:b/>
          <w:bCs/>
        </w:rPr>
        <w:tab/>
      </w:r>
    </w:p>
    <w:p w14:paraId="342208ED" w14:textId="77777777" w:rsidR="00F84E8E" w:rsidRDefault="00F84E8E" w:rsidP="00C63B04">
      <w:pPr>
        <w:kinsoku w:val="0"/>
        <w:overflowPunct w:val="0"/>
        <w:spacing w:before="6"/>
        <w:ind w:right="504"/>
        <w:textAlignment w:val="baseline"/>
        <w:rPr>
          <w:rFonts w:asciiTheme="majorHAnsi" w:hAnsiTheme="majorHAnsi" w:cstheme="majorHAnsi"/>
          <w:b/>
          <w:bCs/>
        </w:rPr>
      </w:pPr>
    </w:p>
    <w:p w14:paraId="0A6EE739" w14:textId="595974ED" w:rsidR="00F84E8E" w:rsidRPr="00D85DB2" w:rsidRDefault="00D85DB2" w:rsidP="00C63B04">
      <w:pPr>
        <w:kinsoku w:val="0"/>
        <w:overflowPunct w:val="0"/>
        <w:spacing w:before="6"/>
        <w:ind w:right="504"/>
        <w:jc w:val="center"/>
        <w:textAlignment w:val="baseline"/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</w:pPr>
      <w:r w:rsidRPr="00D85DB2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>Study Leave Guidance for</w:t>
      </w:r>
    </w:p>
    <w:p w14:paraId="18D47E4C" w14:textId="56C0A898" w:rsidR="00843433" w:rsidRPr="00D85DB2" w:rsidRDefault="003C7837" w:rsidP="00C63B04">
      <w:pPr>
        <w:kinsoku w:val="0"/>
        <w:overflowPunct w:val="0"/>
        <w:spacing w:before="6"/>
        <w:ind w:left="1440" w:right="504" w:hanging="1368"/>
        <w:jc w:val="center"/>
        <w:textAlignment w:val="baseline"/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</w:pPr>
      <w:r w:rsidRPr="00D85DB2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>Dental Core and Specialty Trainees</w:t>
      </w:r>
    </w:p>
    <w:p w14:paraId="67107F48" w14:textId="3F3E7CF7" w:rsidR="00287310" w:rsidRDefault="003C7837" w:rsidP="00C63B04">
      <w:pPr>
        <w:kinsoku w:val="0"/>
        <w:overflowPunct w:val="0"/>
        <w:spacing w:before="6"/>
        <w:ind w:left="1440" w:right="504" w:hanging="1368"/>
        <w:jc w:val="center"/>
        <w:textAlignment w:val="baseline"/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</w:pPr>
      <w:r w:rsidRPr="00D85DB2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 xml:space="preserve">undertaking training in </w:t>
      </w:r>
      <w:r w:rsidR="00287310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 xml:space="preserve">the </w:t>
      </w:r>
      <w:r w:rsidR="00D85DB2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>NHS England South East</w:t>
      </w:r>
      <w:r w:rsidR="00287310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 xml:space="preserve"> Region</w:t>
      </w:r>
    </w:p>
    <w:p w14:paraId="18D47E4D" w14:textId="36D90917" w:rsidR="00843433" w:rsidRPr="00D85DB2" w:rsidRDefault="00287310" w:rsidP="00C63B04">
      <w:pPr>
        <w:kinsoku w:val="0"/>
        <w:overflowPunct w:val="0"/>
        <w:spacing w:before="6"/>
        <w:ind w:left="1440" w:right="504" w:hanging="1368"/>
        <w:jc w:val="center"/>
        <w:textAlignment w:val="baseline"/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</w:pPr>
      <w:r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>(Thames Valley &amp; Wessex</w:t>
      </w:r>
      <w:r w:rsidR="00D85DB2">
        <w:rPr>
          <w:rFonts w:asciiTheme="majorHAnsi" w:hAnsiTheme="majorHAnsi" w:cstheme="majorHAnsi"/>
          <w:b/>
          <w:bCs/>
          <w:color w:val="004689" w:themeColor="accent4" w:themeShade="BF"/>
          <w:sz w:val="32"/>
          <w:szCs w:val="32"/>
        </w:rPr>
        <w:t>)</w:t>
      </w:r>
    </w:p>
    <w:p w14:paraId="18D47E4E" w14:textId="77777777" w:rsidR="00843433" w:rsidRDefault="00843433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</w:rPr>
      </w:pPr>
    </w:p>
    <w:p w14:paraId="3C26A3E9" w14:textId="77777777" w:rsidR="009733A9" w:rsidRDefault="009733A9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</w:rPr>
      </w:pPr>
    </w:p>
    <w:p w14:paraId="24A67674" w14:textId="1A6F5543" w:rsidR="00DB4835" w:rsidRPr="007B0E83" w:rsidRDefault="00EF5411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7B0E83">
        <w:rPr>
          <w:rFonts w:asciiTheme="majorHAnsi" w:hAnsiTheme="majorHAnsi" w:cstheme="majorHAnsi"/>
          <w:sz w:val="22"/>
          <w:szCs w:val="22"/>
        </w:rPr>
        <w:t xml:space="preserve">NHS England is committed to supporting </w:t>
      </w:r>
      <w:r w:rsidR="009733A9" w:rsidRPr="007B0E83">
        <w:rPr>
          <w:rFonts w:asciiTheme="majorHAnsi" w:hAnsiTheme="majorHAnsi" w:cstheme="majorHAnsi"/>
          <w:sz w:val="22"/>
          <w:szCs w:val="22"/>
        </w:rPr>
        <w:t xml:space="preserve">dental trainees in undertaking study leave activities to achieve their specialty curriculum and support professional development. </w:t>
      </w:r>
    </w:p>
    <w:p w14:paraId="7921B63B" w14:textId="77777777" w:rsidR="00466DA1" w:rsidRPr="007B0E83" w:rsidRDefault="00466DA1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54FD7BC5" w14:textId="778EF20B" w:rsidR="00466DA1" w:rsidRDefault="00466DA1" w:rsidP="003B5C30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7B0E83">
        <w:rPr>
          <w:rFonts w:asciiTheme="majorHAnsi" w:hAnsiTheme="majorHAnsi" w:cstheme="majorHAnsi"/>
          <w:sz w:val="22"/>
          <w:szCs w:val="22"/>
        </w:rPr>
        <w:t>There is no cap</w:t>
      </w:r>
      <w:r w:rsidR="00C878DA">
        <w:rPr>
          <w:rFonts w:asciiTheme="majorHAnsi" w:hAnsiTheme="majorHAnsi" w:cstheme="majorHAnsi"/>
          <w:sz w:val="22"/>
          <w:szCs w:val="22"/>
        </w:rPr>
        <w:t xml:space="preserve"> imposed on any individual. </w:t>
      </w:r>
      <w:r w:rsidR="007A28CE">
        <w:rPr>
          <w:rFonts w:asciiTheme="majorHAnsi" w:hAnsiTheme="majorHAnsi" w:cstheme="majorHAnsi"/>
          <w:sz w:val="22"/>
          <w:szCs w:val="22"/>
        </w:rPr>
        <w:t xml:space="preserve">Each study leave episode is considered on its own merit. </w:t>
      </w:r>
      <w:r w:rsidR="003B5C30">
        <w:rPr>
          <w:rFonts w:asciiTheme="majorHAnsi" w:hAnsiTheme="majorHAnsi" w:cstheme="majorHAnsi"/>
          <w:sz w:val="22"/>
          <w:szCs w:val="22"/>
        </w:rPr>
        <w:t>However,</w:t>
      </w:r>
      <w:r w:rsidR="00D209C5">
        <w:rPr>
          <w:rFonts w:asciiTheme="majorHAnsi" w:hAnsiTheme="majorHAnsi" w:cstheme="majorHAnsi"/>
          <w:sz w:val="22"/>
          <w:szCs w:val="22"/>
        </w:rPr>
        <w:t xml:space="preserve"> it is important to </w:t>
      </w:r>
      <w:r w:rsidR="003B5C30">
        <w:rPr>
          <w:rFonts w:asciiTheme="majorHAnsi" w:hAnsiTheme="majorHAnsi" w:cstheme="majorHAnsi"/>
          <w:sz w:val="22"/>
          <w:szCs w:val="22"/>
        </w:rPr>
        <w:t>bear</w:t>
      </w:r>
      <w:r w:rsidR="00D209C5">
        <w:rPr>
          <w:rFonts w:asciiTheme="majorHAnsi" w:hAnsiTheme="majorHAnsi" w:cstheme="majorHAnsi"/>
          <w:sz w:val="22"/>
          <w:szCs w:val="22"/>
        </w:rPr>
        <w:t xml:space="preserve"> in mind that the overall study leave budget</w:t>
      </w:r>
      <w:r w:rsidR="003B5C30">
        <w:rPr>
          <w:rFonts w:asciiTheme="majorHAnsi" w:hAnsiTheme="majorHAnsi" w:cstheme="majorHAnsi"/>
          <w:sz w:val="22"/>
          <w:szCs w:val="22"/>
        </w:rPr>
        <w:t xml:space="preserve"> is </w:t>
      </w:r>
      <w:r w:rsidR="00687553">
        <w:rPr>
          <w:rFonts w:asciiTheme="majorHAnsi" w:hAnsiTheme="majorHAnsi" w:cstheme="majorHAnsi"/>
          <w:sz w:val="22"/>
          <w:szCs w:val="22"/>
        </w:rPr>
        <w:t xml:space="preserve">not limitless and has to be within </w:t>
      </w:r>
      <w:r w:rsidR="006819A5">
        <w:rPr>
          <w:rFonts w:asciiTheme="majorHAnsi" w:hAnsiTheme="majorHAnsi" w:cstheme="majorHAnsi"/>
          <w:sz w:val="22"/>
          <w:szCs w:val="22"/>
        </w:rPr>
        <w:t xml:space="preserve">budget. </w:t>
      </w:r>
    </w:p>
    <w:p w14:paraId="3A89E593" w14:textId="77777777" w:rsidR="00FC0EF0" w:rsidRDefault="00FC0EF0" w:rsidP="00466DA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33A7561" w14:textId="49A303B0" w:rsidR="00DA4EFF" w:rsidRPr="000965DE" w:rsidRDefault="00FC0EF0" w:rsidP="002815C9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965DE">
        <w:rPr>
          <w:rFonts w:asciiTheme="majorHAnsi" w:hAnsiTheme="majorHAnsi" w:cstheme="majorHAnsi"/>
          <w:b/>
          <w:bCs/>
          <w:sz w:val="22"/>
          <w:szCs w:val="22"/>
          <w:u w:val="single"/>
        </w:rPr>
        <w:t>General Terms</w:t>
      </w:r>
    </w:p>
    <w:p w14:paraId="65E805D5" w14:textId="158897C8" w:rsidR="001E6C1A" w:rsidRDefault="00DA4EFF" w:rsidP="004B6FAF">
      <w:pPr>
        <w:kinsoku w:val="0"/>
        <w:overflowPunct w:val="0"/>
        <w:spacing w:line="259" w:lineRule="exact"/>
        <w:textAlignment w:val="baseline"/>
        <w:rPr>
          <w:rFonts w:asciiTheme="majorHAnsi" w:hAnsiTheme="majorHAnsi" w:cstheme="majorHAnsi"/>
          <w:sz w:val="22"/>
          <w:szCs w:val="22"/>
        </w:rPr>
      </w:pPr>
      <w:r w:rsidRPr="007B0E83">
        <w:rPr>
          <w:rFonts w:asciiTheme="majorHAnsi" w:hAnsiTheme="majorHAnsi" w:cstheme="majorHAnsi"/>
          <w:sz w:val="22"/>
          <w:szCs w:val="22"/>
        </w:rPr>
        <w:t>Den</w:t>
      </w:r>
      <w:r w:rsidR="00D11819">
        <w:rPr>
          <w:rFonts w:asciiTheme="majorHAnsi" w:hAnsiTheme="majorHAnsi" w:cstheme="majorHAnsi"/>
          <w:sz w:val="22"/>
          <w:szCs w:val="22"/>
        </w:rPr>
        <w:t xml:space="preserve">tists in </w:t>
      </w:r>
      <w:r w:rsidR="00417CF6">
        <w:rPr>
          <w:rFonts w:asciiTheme="majorHAnsi" w:hAnsiTheme="majorHAnsi" w:cstheme="majorHAnsi"/>
          <w:sz w:val="22"/>
          <w:szCs w:val="22"/>
        </w:rPr>
        <w:t>postgraduate training</w:t>
      </w:r>
      <w:r w:rsidRPr="007B0E83">
        <w:rPr>
          <w:rFonts w:asciiTheme="majorHAnsi" w:hAnsiTheme="majorHAnsi" w:cstheme="majorHAnsi"/>
          <w:sz w:val="22"/>
          <w:szCs w:val="22"/>
        </w:rPr>
        <w:t xml:space="preserve"> are allowed</w:t>
      </w:r>
      <w:r w:rsidR="00D57F31">
        <w:rPr>
          <w:rFonts w:asciiTheme="majorHAnsi" w:hAnsiTheme="majorHAnsi" w:cstheme="majorHAnsi"/>
          <w:sz w:val="22"/>
          <w:szCs w:val="22"/>
        </w:rPr>
        <w:t xml:space="preserve"> up to</w:t>
      </w:r>
      <w:r w:rsidRPr="007B0E83">
        <w:rPr>
          <w:rFonts w:asciiTheme="majorHAnsi" w:hAnsiTheme="majorHAnsi" w:cstheme="majorHAnsi"/>
          <w:sz w:val="22"/>
          <w:szCs w:val="22"/>
        </w:rPr>
        <w:t xml:space="preserve"> </w:t>
      </w:r>
      <w:r w:rsidRPr="00DA6B7E">
        <w:rPr>
          <w:rFonts w:asciiTheme="majorHAnsi" w:hAnsiTheme="majorHAnsi" w:cstheme="majorHAnsi"/>
          <w:b/>
          <w:bCs/>
          <w:sz w:val="22"/>
          <w:szCs w:val="22"/>
        </w:rPr>
        <w:t>30 days of study leave</w:t>
      </w:r>
      <w:r w:rsidR="001E6C1A" w:rsidRPr="00DA6B7E">
        <w:rPr>
          <w:rFonts w:asciiTheme="majorHAnsi" w:hAnsiTheme="majorHAnsi" w:cstheme="majorHAnsi"/>
          <w:b/>
          <w:bCs/>
          <w:sz w:val="22"/>
          <w:szCs w:val="22"/>
        </w:rPr>
        <w:t xml:space="preserve"> per annum</w:t>
      </w:r>
      <w:r w:rsidR="001E6C1A" w:rsidRPr="007B0E83">
        <w:rPr>
          <w:rFonts w:asciiTheme="majorHAnsi" w:hAnsiTheme="majorHAnsi" w:cstheme="majorHAnsi"/>
          <w:sz w:val="22"/>
          <w:szCs w:val="22"/>
        </w:rPr>
        <w:t xml:space="preserve">. </w:t>
      </w:r>
      <w:r w:rsidR="001E6C1A" w:rsidRPr="004B6FAF">
        <w:rPr>
          <w:rFonts w:asciiTheme="majorHAnsi" w:hAnsiTheme="majorHAnsi" w:cstheme="majorHAnsi"/>
          <w:sz w:val="22"/>
          <w:szCs w:val="22"/>
        </w:rPr>
        <w:t>Trainees working less than full time are entitled to study leave on a pro rata basis</w:t>
      </w:r>
      <w:r w:rsidR="001E6C1A" w:rsidRPr="007B0E83">
        <w:rPr>
          <w:rFonts w:asciiTheme="majorHAnsi" w:hAnsiTheme="majorHAnsi" w:cstheme="majorHAnsi"/>
          <w:sz w:val="22"/>
          <w:szCs w:val="22"/>
        </w:rPr>
        <w:t>.</w:t>
      </w:r>
    </w:p>
    <w:p w14:paraId="5CC66FAD" w14:textId="77777777" w:rsidR="004D26D5" w:rsidRDefault="004D26D5" w:rsidP="004B6FAF">
      <w:pPr>
        <w:kinsoku w:val="0"/>
        <w:overflowPunct w:val="0"/>
        <w:spacing w:line="259" w:lineRule="exac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1689F4A" w14:textId="4F075777" w:rsidR="00697375" w:rsidRPr="006E3023" w:rsidRDefault="006E3023" w:rsidP="004B6FAF">
      <w:pPr>
        <w:kinsoku w:val="0"/>
        <w:overflowPunct w:val="0"/>
        <w:spacing w:line="259" w:lineRule="exac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6E3023">
        <w:rPr>
          <w:rFonts w:asciiTheme="majorHAnsi" w:hAnsiTheme="majorHAnsi" w:cstheme="majorHAnsi"/>
          <w:b/>
          <w:bCs/>
          <w:sz w:val="22"/>
          <w:szCs w:val="22"/>
        </w:rPr>
        <w:t xml:space="preserve">Application for external courses will not be approved if they fall on the Deanery mandatory study days. </w:t>
      </w:r>
    </w:p>
    <w:p w14:paraId="3E3167C2" w14:textId="77777777" w:rsidR="00DB4835" w:rsidRPr="007B0E83" w:rsidRDefault="00DB4835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="Arial" w:hAnsi="Arial" w:cs="Arial"/>
          <w:color w:val="212B32"/>
          <w:sz w:val="22"/>
          <w:szCs w:val="22"/>
          <w:shd w:val="clear" w:color="auto" w:fill="F0F4F5"/>
        </w:rPr>
      </w:pPr>
    </w:p>
    <w:p w14:paraId="3B100926" w14:textId="5D8E50D2" w:rsidR="00E41C82" w:rsidRPr="00DA6B7E" w:rsidRDefault="00E41C82" w:rsidP="005519A5">
      <w:pPr>
        <w:kinsoku w:val="0"/>
        <w:overflowPunct w:val="0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DA6B7E">
        <w:rPr>
          <w:rFonts w:asciiTheme="majorHAnsi" w:hAnsiTheme="majorHAnsi" w:cstheme="majorHAnsi"/>
          <w:b/>
          <w:bCs/>
          <w:sz w:val="22"/>
          <w:szCs w:val="22"/>
        </w:rPr>
        <w:t xml:space="preserve">Study </w:t>
      </w:r>
      <w:r w:rsidR="00CB2FC1" w:rsidRPr="00DA6B7E">
        <w:rPr>
          <w:rFonts w:asciiTheme="majorHAnsi" w:hAnsiTheme="majorHAnsi" w:cstheme="majorHAnsi"/>
          <w:b/>
          <w:bCs/>
          <w:sz w:val="22"/>
          <w:szCs w:val="22"/>
        </w:rPr>
        <w:t>l</w:t>
      </w:r>
      <w:r w:rsidRPr="00DA6B7E">
        <w:rPr>
          <w:rFonts w:asciiTheme="majorHAnsi" w:hAnsiTheme="majorHAnsi" w:cstheme="majorHAnsi"/>
          <w:b/>
          <w:bCs/>
          <w:sz w:val="22"/>
          <w:szCs w:val="22"/>
        </w:rPr>
        <w:t>eave can be used for:</w:t>
      </w:r>
    </w:p>
    <w:p w14:paraId="5E1D8A53" w14:textId="1CDA4838" w:rsidR="004A3C06" w:rsidRDefault="004A3C06" w:rsidP="00356D66">
      <w:pPr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4A3C06">
        <w:rPr>
          <w:rFonts w:asciiTheme="majorHAnsi" w:hAnsiTheme="majorHAnsi" w:cstheme="majorHAnsi"/>
          <w:sz w:val="22"/>
          <w:szCs w:val="22"/>
        </w:rPr>
        <w:t>Courses/education activities to support den</w:t>
      </w:r>
      <w:r w:rsidR="00A76039">
        <w:rPr>
          <w:rFonts w:asciiTheme="majorHAnsi" w:hAnsiTheme="majorHAnsi" w:cstheme="majorHAnsi"/>
          <w:sz w:val="22"/>
          <w:szCs w:val="22"/>
        </w:rPr>
        <w:t>tists in training</w:t>
      </w:r>
      <w:r w:rsidRPr="004A3C06">
        <w:rPr>
          <w:rFonts w:asciiTheme="majorHAnsi" w:hAnsiTheme="majorHAnsi" w:cstheme="majorHAnsi"/>
          <w:sz w:val="22"/>
          <w:szCs w:val="22"/>
        </w:rPr>
        <w:t xml:space="preserve"> to achieve the curriculum</w:t>
      </w:r>
      <w:r w:rsidR="002D5CC0">
        <w:rPr>
          <w:rFonts w:asciiTheme="majorHAnsi" w:hAnsiTheme="majorHAnsi" w:cstheme="majorHAnsi"/>
          <w:sz w:val="22"/>
          <w:szCs w:val="22"/>
        </w:rPr>
        <w:t xml:space="preserve"> requirements</w:t>
      </w:r>
      <w:r w:rsidR="00E30886">
        <w:rPr>
          <w:rFonts w:asciiTheme="majorHAnsi" w:hAnsiTheme="majorHAnsi" w:cstheme="majorHAnsi"/>
          <w:sz w:val="22"/>
          <w:szCs w:val="22"/>
        </w:rPr>
        <w:t xml:space="preserve"> (</w:t>
      </w:r>
      <w:r w:rsidR="00183770">
        <w:rPr>
          <w:rFonts w:asciiTheme="majorHAnsi" w:hAnsiTheme="majorHAnsi" w:cstheme="majorHAnsi"/>
          <w:sz w:val="22"/>
          <w:szCs w:val="22"/>
        </w:rPr>
        <w:t>s</w:t>
      </w:r>
      <w:r w:rsidR="00E30886" w:rsidRPr="004B6FAF">
        <w:rPr>
          <w:rFonts w:asciiTheme="majorHAnsi" w:hAnsiTheme="majorHAnsi" w:cstheme="majorHAnsi"/>
          <w:sz w:val="22"/>
          <w:szCs w:val="22"/>
        </w:rPr>
        <w:t xml:space="preserve">cheduled teaching – </w:t>
      </w:r>
      <w:r w:rsidR="00E30886" w:rsidRPr="00F12FB7">
        <w:rPr>
          <w:rFonts w:asciiTheme="majorHAnsi" w:hAnsiTheme="majorHAnsi" w:cstheme="majorHAnsi"/>
          <w:sz w:val="22"/>
          <w:szCs w:val="22"/>
        </w:rPr>
        <w:t xml:space="preserve">Deanery </w:t>
      </w:r>
      <w:r w:rsidR="00E30886" w:rsidRPr="004B6FAF">
        <w:rPr>
          <w:rFonts w:asciiTheme="majorHAnsi" w:hAnsiTheme="majorHAnsi" w:cstheme="majorHAnsi"/>
          <w:sz w:val="22"/>
          <w:szCs w:val="22"/>
        </w:rPr>
        <w:t>study days</w:t>
      </w:r>
      <w:r w:rsidR="00E30886" w:rsidRPr="00F12FB7">
        <w:rPr>
          <w:rFonts w:asciiTheme="majorHAnsi" w:hAnsiTheme="majorHAnsi" w:cstheme="majorHAnsi"/>
          <w:sz w:val="22"/>
          <w:szCs w:val="22"/>
        </w:rPr>
        <w:t xml:space="preserve"> and other Trust/Department study sessions</w:t>
      </w:r>
      <w:r w:rsidR="00E30886" w:rsidRPr="004B6FAF">
        <w:rPr>
          <w:rFonts w:asciiTheme="majorHAnsi" w:hAnsiTheme="majorHAnsi" w:cstheme="majorHAnsi"/>
          <w:sz w:val="22"/>
          <w:szCs w:val="22"/>
        </w:rPr>
        <w:t xml:space="preserve"> are included within</w:t>
      </w:r>
      <w:r w:rsidR="00E30886" w:rsidRPr="00F12FB7">
        <w:rPr>
          <w:rFonts w:asciiTheme="majorHAnsi" w:hAnsiTheme="majorHAnsi" w:cstheme="majorHAnsi"/>
          <w:sz w:val="22"/>
          <w:szCs w:val="22"/>
        </w:rPr>
        <w:t xml:space="preserve"> the</w:t>
      </w:r>
      <w:r w:rsidR="00E30886" w:rsidRPr="004B6FAF">
        <w:rPr>
          <w:rFonts w:asciiTheme="majorHAnsi" w:hAnsiTheme="majorHAnsi" w:cstheme="majorHAnsi"/>
          <w:sz w:val="22"/>
          <w:szCs w:val="22"/>
        </w:rPr>
        <w:t xml:space="preserve"> 30 days</w:t>
      </w:r>
      <w:r w:rsidR="00CB0DBF">
        <w:rPr>
          <w:rFonts w:asciiTheme="majorHAnsi" w:hAnsiTheme="majorHAnsi" w:cstheme="majorHAnsi"/>
          <w:sz w:val="22"/>
          <w:szCs w:val="22"/>
        </w:rPr>
        <w:t>)</w:t>
      </w:r>
    </w:p>
    <w:p w14:paraId="1AF33639" w14:textId="7D115FA9" w:rsidR="004466DF" w:rsidRPr="004466DF" w:rsidRDefault="004466DF" w:rsidP="00356D66">
      <w:pPr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4466DF">
        <w:rPr>
          <w:rFonts w:asciiTheme="majorHAnsi" w:hAnsiTheme="majorHAnsi" w:cstheme="majorHAnsi"/>
          <w:sz w:val="22"/>
          <w:szCs w:val="22"/>
        </w:rPr>
        <w:t>External</w:t>
      </w:r>
      <w:r w:rsidR="00C31061">
        <w:rPr>
          <w:rFonts w:asciiTheme="majorHAnsi" w:hAnsiTheme="majorHAnsi" w:cstheme="majorHAnsi"/>
          <w:sz w:val="22"/>
          <w:szCs w:val="22"/>
        </w:rPr>
        <w:t>/national</w:t>
      </w:r>
      <w:r w:rsidRPr="004466DF">
        <w:rPr>
          <w:rFonts w:asciiTheme="majorHAnsi" w:hAnsiTheme="majorHAnsi" w:cstheme="majorHAnsi"/>
          <w:sz w:val="22"/>
          <w:szCs w:val="22"/>
        </w:rPr>
        <w:t xml:space="preserve"> courses, events, conferences</w:t>
      </w:r>
      <w:r w:rsidR="00CB0DBF">
        <w:rPr>
          <w:rFonts w:asciiTheme="majorHAnsi" w:hAnsiTheme="majorHAnsi" w:cstheme="majorHAnsi"/>
          <w:sz w:val="22"/>
          <w:szCs w:val="22"/>
        </w:rPr>
        <w:t>,</w:t>
      </w:r>
      <w:r w:rsidR="00424E41">
        <w:rPr>
          <w:rFonts w:asciiTheme="majorHAnsi" w:hAnsiTheme="majorHAnsi" w:cstheme="majorHAnsi"/>
          <w:sz w:val="22"/>
          <w:szCs w:val="22"/>
        </w:rPr>
        <w:t xml:space="preserve"> if a trainee is presenting</w:t>
      </w:r>
      <w:r w:rsidR="00BD1861">
        <w:rPr>
          <w:rFonts w:asciiTheme="majorHAnsi" w:hAnsiTheme="majorHAnsi" w:cstheme="majorHAnsi"/>
          <w:sz w:val="22"/>
          <w:szCs w:val="22"/>
        </w:rPr>
        <w:t xml:space="preserve"> (poster or oral presentation)</w:t>
      </w:r>
      <w:r w:rsidR="00424E41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2E508D1C" w14:textId="77777777" w:rsidR="004A3C06" w:rsidRPr="004A3C06" w:rsidRDefault="004A3C06" w:rsidP="00356D66">
      <w:pPr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4A3C06">
        <w:rPr>
          <w:rFonts w:asciiTheme="majorHAnsi" w:hAnsiTheme="majorHAnsi" w:cstheme="majorHAnsi"/>
          <w:sz w:val="22"/>
          <w:szCs w:val="22"/>
        </w:rPr>
        <w:t>Courses to help prepare for postgraduate exams</w:t>
      </w:r>
    </w:p>
    <w:p w14:paraId="4FFFA4D2" w14:textId="51DD6705" w:rsidR="00314F7C" w:rsidRPr="00D57F31" w:rsidRDefault="004A3C06" w:rsidP="00356D66">
      <w:pPr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4A3C06">
        <w:rPr>
          <w:rFonts w:asciiTheme="majorHAnsi" w:hAnsiTheme="majorHAnsi" w:cstheme="majorHAnsi"/>
          <w:sz w:val="22"/>
          <w:szCs w:val="22"/>
        </w:rPr>
        <w:t xml:space="preserve">Discretionary courses that add value </w:t>
      </w:r>
      <w:r w:rsidR="00E30886">
        <w:rPr>
          <w:rFonts w:asciiTheme="majorHAnsi" w:hAnsiTheme="majorHAnsi" w:cstheme="majorHAnsi"/>
          <w:sz w:val="22"/>
          <w:szCs w:val="22"/>
        </w:rPr>
        <w:t xml:space="preserve">and </w:t>
      </w:r>
      <w:r w:rsidRPr="004A3C06">
        <w:rPr>
          <w:rFonts w:asciiTheme="majorHAnsi" w:hAnsiTheme="majorHAnsi" w:cstheme="majorHAnsi"/>
          <w:sz w:val="22"/>
          <w:szCs w:val="22"/>
        </w:rPr>
        <w:t>support the wider system</w:t>
      </w:r>
    </w:p>
    <w:p w14:paraId="2F3343C6" w14:textId="77777777" w:rsidR="007B0E83" w:rsidRPr="007B0E83" w:rsidRDefault="007B0E83" w:rsidP="00352CDA">
      <w:pPr>
        <w:shd w:val="clear" w:color="auto" w:fill="FFFFFF" w:themeFill="background1"/>
        <w:ind w:left="720"/>
        <w:rPr>
          <w:rFonts w:asciiTheme="majorHAnsi" w:hAnsiTheme="majorHAnsi" w:cstheme="majorHAnsi"/>
          <w:sz w:val="22"/>
          <w:szCs w:val="22"/>
        </w:rPr>
      </w:pPr>
    </w:p>
    <w:p w14:paraId="4D436F15" w14:textId="6FBC581B" w:rsidR="004F6048" w:rsidRPr="00DA6B7E" w:rsidRDefault="00676A81" w:rsidP="00352CDA">
      <w:pPr>
        <w:shd w:val="clear" w:color="auto" w:fill="FFFFFF" w:themeFill="background1"/>
        <w:rPr>
          <w:rFonts w:asciiTheme="majorHAnsi" w:hAnsiTheme="majorHAnsi" w:cstheme="majorHAnsi"/>
          <w:b/>
          <w:bCs/>
          <w:sz w:val="22"/>
          <w:szCs w:val="22"/>
        </w:rPr>
      </w:pPr>
      <w:r w:rsidRPr="00DA6B7E">
        <w:rPr>
          <w:rFonts w:asciiTheme="majorHAnsi" w:hAnsiTheme="majorHAnsi" w:cstheme="majorHAnsi"/>
          <w:b/>
          <w:bCs/>
          <w:sz w:val="22"/>
          <w:szCs w:val="22"/>
        </w:rPr>
        <w:t>Study leave budgets do not cover:</w:t>
      </w:r>
    </w:p>
    <w:p w14:paraId="615AB856" w14:textId="593ABAD9" w:rsidR="006B6752" w:rsidRPr="006B6752" w:rsidRDefault="006B6752" w:rsidP="00356D66">
      <w:pPr>
        <w:numPr>
          <w:ilvl w:val="0"/>
          <w:numId w:val="1"/>
        </w:num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6B6752">
        <w:rPr>
          <w:rFonts w:asciiTheme="majorHAnsi" w:hAnsiTheme="majorHAnsi" w:cstheme="majorHAnsi"/>
          <w:sz w:val="22"/>
          <w:szCs w:val="22"/>
        </w:rPr>
        <w:t>Ro</w:t>
      </w:r>
      <w:r w:rsidR="00676A81" w:rsidRPr="007B0E83">
        <w:rPr>
          <w:rFonts w:asciiTheme="majorHAnsi" w:hAnsiTheme="majorHAnsi" w:cstheme="majorHAnsi"/>
          <w:sz w:val="22"/>
          <w:szCs w:val="22"/>
        </w:rPr>
        <w:t>y</w:t>
      </w:r>
      <w:r w:rsidRPr="006B6752">
        <w:rPr>
          <w:rFonts w:asciiTheme="majorHAnsi" w:hAnsiTheme="majorHAnsi" w:cstheme="majorHAnsi"/>
          <w:sz w:val="22"/>
          <w:szCs w:val="22"/>
        </w:rPr>
        <w:t>al College membership and e-portfolio fees</w:t>
      </w:r>
    </w:p>
    <w:p w14:paraId="705EA291" w14:textId="77777777" w:rsidR="006B6752" w:rsidRPr="006B6752" w:rsidRDefault="006B6752" w:rsidP="00356D66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rFonts w:asciiTheme="majorHAnsi" w:hAnsiTheme="majorHAnsi" w:cstheme="majorHAnsi"/>
          <w:sz w:val="22"/>
          <w:szCs w:val="22"/>
        </w:rPr>
      </w:pPr>
      <w:r w:rsidRPr="006B6752">
        <w:rPr>
          <w:rFonts w:asciiTheme="majorHAnsi" w:hAnsiTheme="majorHAnsi" w:cstheme="majorHAnsi"/>
          <w:sz w:val="22"/>
          <w:szCs w:val="22"/>
        </w:rPr>
        <w:t>Postgraduate exam fees</w:t>
      </w:r>
    </w:p>
    <w:p w14:paraId="798F8105" w14:textId="46AF8889" w:rsidR="006B6752" w:rsidRDefault="006B6752" w:rsidP="00356D66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rFonts w:asciiTheme="majorHAnsi" w:hAnsiTheme="majorHAnsi" w:cstheme="majorHAnsi"/>
          <w:sz w:val="22"/>
          <w:szCs w:val="22"/>
        </w:rPr>
      </w:pPr>
      <w:r w:rsidRPr="006B6752">
        <w:rPr>
          <w:rFonts w:asciiTheme="majorHAnsi" w:hAnsiTheme="majorHAnsi" w:cstheme="majorHAnsi"/>
          <w:sz w:val="22"/>
          <w:szCs w:val="22"/>
        </w:rPr>
        <w:t>Any statutory or mandatory training required to fulfil clinical role (this should be provided by NHS Trust)</w:t>
      </w:r>
    </w:p>
    <w:p w14:paraId="55B44136" w14:textId="291EDFB6" w:rsidR="00BD5C9A" w:rsidRPr="006B6752" w:rsidRDefault="007921AD" w:rsidP="00356D66">
      <w:pPr>
        <w:numPr>
          <w:ilvl w:val="0"/>
          <w:numId w:val="1"/>
        </w:numPr>
        <w:shd w:val="clear" w:color="auto" w:fill="FFFFFF" w:themeFill="background1"/>
        <w:spacing w:before="100" w:beforeAutospacing="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Interview expenses</w:t>
      </w:r>
    </w:p>
    <w:p w14:paraId="1DF99F44" w14:textId="77777777" w:rsidR="004F6048" w:rsidRDefault="004F6048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</w:rPr>
      </w:pPr>
    </w:p>
    <w:p w14:paraId="4D0D7C57" w14:textId="451E8EBB" w:rsidR="004F6048" w:rsidRPr="000965DE" w:rsidRDefault="00043BDE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965DE">
        <w:rPr>
          <w:rFonts w:asciiTheme="majorHAnsi" w:hAnsiTheme="majorHAnsi" w:cstheme="majorHAnsi"/>
          <w:b/>
          <w:bCs/>
          <w:sz w:val="22"/>
          <w:szCs w:val="22"/>
          <w:u w:val="single"/>
        </w:rPr>
        <w:t>Study Leave A-Z</w:t>
      </w:r>
    </w:p>
    <w:p w14:paraId="4F41A67D" w14:textId="19874363" w:rsidR="00043BDE" w:rsidRDefault="002C0EEB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</w:t>
      </w:r>
      <w:r w:rsidRPr="002C0EEB">
        <w:rPr>
          <w:rFonts w:asciiTheme="majorHAnsi" w:hAnsiTheme="majorHAnsi" w:cstheme="majorHAnsi"/>
          <w:sz w:val="22"/>
          <w:szCs w:val="22"/>
        </w:rPr>
        <w:t xml:space="preserve">uidance regarding various aspects of </w:t>
      </w:r>
      <w:r>
        <w:rPr>
          <w:rFonts w:asciiTheme="majorHAnsi" w:hAnsiTheme="majorHAnsi" w:cstheme="majorHAnsi"/>
          <w:sz w:val="22"/>
          <w:szCs w:val="22"/>
        </w:rPr>
        <w:t>s</w:t>
      </w:r>
      <w:r w:rsidRPr="002C0EEB">
        <w:rPr>
          <w:rFonts w:asciiTheme="majorHAnsi" w:hAnsiTheme="majorHAnsi" w:cstheme="majorHAnsi"/>
          <w:sz w:val="22"/>
          <w:szCs w:val="22"/>
        </w:rPr>
        <w:t>tudy leave</w:t>
      </w:r>
      <w:r>
        <w:rPr>
          <w:rFonts w:asciiTheme="majorHAnsi" w:hAnsiTheme="majorHAnsi" w:cstheme="majorHAnsi"/>
          <w:sz w:val="22"/>
          <w:szCs w:val="22"/>
        </w:rPr>
        <w:t>:</w:t>
      </w:r>
    </w:p>
    <w:p w14:paraId="4C27E0D1" w14:textId="77777777" w:rsidR="00FC0EF0" w:rsidRDefault="00FC0EF0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095779D" w14:textId="31A394FE" w:rsidR="00862847" w:rsidRPr="00FC0EF0" w:rsidRDefault="00FC0EF0" w:rsidP="004F60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C0EF0">
        <w:rPr>
          <w:rFonts w:asciiTheme="majorHAnsi" w:hAnsiTheme="majorHAnsi" w:cstheme="majorHAnsi"/>
          <w:b/>
          <w:bCs/>
          <w:sz w:val="22"/>
          <w:szCs w:val="22"/>
        </w:rPr>
        <w:t>Accommodation expenses</w:t>
      </w:r>
    </w:p>
    <w:p w14:paraId="63171447" w14:textId="09FB60D3" w:rsidR="00F4295C" w:rsidRDefault="00562B00" w:rsidP="00562B00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562B00">
        <w:rPr>
          <w:rFonts w:asciiTheme="majorHAnsi" w:hAnsiTheme="majorHAnsi" w:cstheme="majorHAnsi"/>
          <w:sz w:val="22"/>
          <w:szCs w:val="22"/>
        </w:rPr>
        <w:t xml:space="preserve">Overnight </w:t>
      </w:r>
      <w:r w:rsidR="00F4295C" w:rsidRPr="00EF74A4">
        <w:rPr>
          <w:rFonts w:asciiTheme="majorHAnsi" w:hAnsiTheme="majorHAnsi" w:cstheme="majorHAnsi"/>
          <w:sz w:val="22"/>
          <w:szCs w:val="22"/>
        </w:rPr>
        <w:t xml:space="preserve">accommodation expenses will only be </w:t>
      </w:r>
      <w:r w:rsidR="00BB63F5" w:rsidRPr="00EF74A4">
        <w:rPr>
          <w:rFonts w:asciiTheme="majorHAnsi" w:hAnsiTheme="majorHAnsi" w:cstheme="majorHAnsi"/>
          <w:sz w:val="22"/>
          <w:szCs w:val="22"/>
        </w:rPr>
        <w:t>reimbursed</w:t>
      </w:r>
      <w:r w:rsidR="00F4295C" w:rsidRPr="00F4295C">
        <w:rPr>
          <w:rFonts w:asciiTheme="majorHAnsi" w:hAnsiTheme="majorHAnsi" w:cstheme="majorHAnsi"/>
          <w:sz w:val="22"/>
          <w:szCs w:val="22"/>
        </w:rPr>
        <w:t xml:space="preserve"> if you are travelling from a base destination</w:t>
      </w:r>
      <w:r w:rsidR="00245C5B" w:rsidRPr="00562B00">
        <w:rPr>
          <w:rFonts w:asciiTheme="majorHAnsi" w:hAnsiTheme="majorHAnsi" w:cstheme="majorHAnsi"/>
          <w:sz w:val="22"/>
          <w:szCs w:val="22"/>
        </w:rPr>
        <w:t xml:space="preserve"> (</w:t>
      </w:r>
      <w:r w:rsidR="003C7416">
        <w:rPr>
          <w:rFonts w:asciiTheme="majorHAnsi" w:hAnsiTheme="majorHAnsi" w:cstheme="majorHAnsi"/>
          <w:sz w:val="22"/>
          <w:szCs w:val="22"/>
        </w:rPr>
        <w:t xml:space="preserve">main </w:t>
      </w:r>
      <w:r w:rsidR="00245C5B" w:rsidRPr="00562B00">
        <w:rPr>
          <w:rFonts w:asciiTheme="majorHAnsi" w:hAnsiTheme="majorHAnsi" w:cstheme="majorHAnsi"/>
          <w:sz w:val="22"/>
          <w:szCs w:val="22"/>
        </w:rPr>
        <w:t>place of work)</w:t>
      </w:r>
      <w:r w:rsidR="00F4295C" w:rsidRPr="00F4295C">
        <w:rPr>
          <w:rFonts w:asciiTheme="majorHAnsi" w:hAnsiTheme="majorHAnsi" w:cstheme="majorHAnsi"/>
          <w:sz w:val="22"/>
          <w:szCs w:val="22"/>
        </w:rPr>
        <w:t xml:space="preserve"> more than 100 miles </w:t>
      </w:r>
      <w:r w:rsidR="00861B03">
        <w:rPr>
          <w:rFonts w:asciiTheme="majorHAnsi" w:hAnsiTheme="majorHAnsi" w:cstheme="majorHAnsi"/>
          <w:sz w:val="22"/>
          <w:szCs w:val="22"/>
        </w:rPr>
        <w:t>to</w:t>
      </w:r>
      <w:r w:rsidR="00F4295C" w:rsidRPr="00F4295C">
        <w:rPr>
          <w:rFonts w:asciiTheme="majorHAnsi" w:hAnsiTheme="majorHAnsi" w:cstheme="majorHAnsi"/>
          <w:sz w:val="22"/>
          <w:szCs w:val="22"/>
        </w:rPr>
        <w:t xml:space="preserve"> the venue, or if the course runs longer than one day and the round trip exceeds </w:t>
      </w:r>
      <w:r w:rsidR="00EF74A4">
        <w:rPr>
          <w:rFonts w:asciiTheme="majorHAnsi" w:hAnsiTheme="majorHAnsi" w:cstheme="majorHAnsi"/>
          <w:sz w:val="22"/>
          <w:szCs w:val="22"/>
        </w:rPr>
        <w:t>1</w:t>
      </w:r>
      <w:r w:rsidR="00F4295C" w:rsidRPr="00F4295C">
        <w:rPr>
          <w:rFonts w:asciiTheme="majorHAnsi" w:hAnsiTheme="majorHAnsi" w:cstheme="majorHAnsi"/>
          <w:sz w:val="22"/>
          <w:szCs w:val="22"/>
        </w:rPr>
        <w:t>00 miles.</w:t>
      </w:r>
    </w:p>
    <w:p w14:paraId="13A5C59E" w14:textId="77777777" w:rsidR="00562B00" w:rsidRPr="00F4295C" w:rsidRDefault="00562B00" w:rsidP="00562B00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0A9FE4B0" w14:textId="77E3A0C3" w:rsidR="00424CAD" w:rsidRDefault="00F4295C" w:rsidP="2390FCEA">
      <w:pPr>
        <w:spacing w:before="6" w:line="288" w:lineRule="exact"/>
        <w:ind w:right="504"/>
        <w:rPr>
          <w:rFonts w:asciiTheme="majorHAnsi" w:hAnsiTheme="majorHAnsi" w:cstheme="majorBidi"/>
          <w:sz w:val="22"/>
          <w:szCs w:val="22"/>
        </w:rPr>
      </w:pPr>
      <w:r w:rsidRPr="2390FCEA">
        <w:rPr>
          <w:rFonts w:asciiTheme="majorHAnsi" w:hAnsiTheme="majorHAnsi" w:cstheme="majorBidi"/>
          <w:sz w:val="22"/>
          <w:szCs w:val="22"/>
        </w:rPr>
        <w:t xml:space="preserve">Accommodation costs to be covered by NHSE will be limited to the duration of the event plus one night, either before or after the event dates. </w:t>
      </w:r>
      <w:r w:rsidR="00F67CC9" w:rsidRPr="2390FCEA">
        <w:rPr>
          <w:rFonts w:asciiTheme="majorHAnsi" w:hAnsiTheme="majorHAnsi" w:cstheme="majorBidi"/>
          <w:sz w:val="22"/>
          <w:szCs w:val="22"/>
        </w:rPr>
        <w:t>Trainees</w:t>
      </w:r>
      <w:r w:rsidRPr="2390FCEA">
        <w:rPr>
          <w:rFonts w:asciiTheme="majorHAnsi" w:hAnsiTheme="majorHAnsi" w:cstheme="majorBidi"/>
          <w:sz w:val="22"/>
          <w:szCs w:val="22"/>
        </w:rPr>
        <w:t xml:space="preserve"> must demonstrate value for money and </w:t>
      </w:r>
      <w:r w:rsidRPr="2390FCEA">
        <w:rPr>
          <w:rFonts w:asciiTheme="majorHAnsi" w:hAnsiTheme="majorHAnsi" w:cstheme="majorBidi"/>
          <w:sz w:val="22"/>
          <w:szCs w:val="22"/>
        </w:rPr>
        <w:lastRenderedPageBreak/>
        <w:t>book the lowest priced accommodation available (we recommend obtaining three quotes).</w:t>
      </w:r>
      <w:r w:rsidR="0083401B" w:rsidRPr="2390FCEA">
        <w:rPr>
          <w:rFonts w:asciiTheme="majorHAnsi" w:hAnsiTheme="majorHAnsi" w:cstheme="majorBidi"/>
          <w:sz w:val="22"/>
          <w:szCs w:val="22"/>
        </w:rPr>
        <w:t xml:space="preserve"> </w:t>
      </w:r>
      <w:r w:rsidR="00424CAD" w:rsidRPr="00862847">
        <w:rPr>
          <w:rFonts w:ascii="Arial" w:hAnsi="Arial" w:cs="Arial"/>
          <w:sz w:val="22"/>
          <w:szCs w:val="22"/>
        </w:rPr>
        <w:t xml:space="preserve">Overnight costs will be reimbursed up to a maximum limit of £120.00 per night outside of London and £150 per night within London. </w:t>
      </w:r>
    </w:p>
    <w:p w14:paraId="3C74A0C4" w14:textId="5410FCCF" w:rsidR="009F24A2" w:rsidRDefault="009F24A2" w:rsidP="2390FCEA">
      <w:pPr>
        <w:spacing w:before="6" w:line="288" w:lineRule="exact"/>
        <w:ind w:right="504"/>
        <w:rPr>
          <w:rFonts w:ascii="Arial" w:hAnsi="Arial" w:cs="Arial"/>
          <w:sz w:val="22"/>
          <w:szCs w:val="22"/>
        </w:rPr>
      </w:pPr>
    </w:p>
    <w:p w14:paraId="4AEEF36C" w14:textId="63618464" w:rsidR="00F4295C" w:rsidRPr="0083401B" w:rsidRDefault="00F4295C" w:rsidP="00862847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F4295C">
        <w:rPr>
          <w:rFonts w:asciiTheme="majorHAnsi" w:hAnsiTheme="majorHAnsi" w:cstheme="majorHAnsi"/>
          <w:sz w:val="22"/>
          <w:szCs w:val="22"/>
        </w:rPr>
        <w:t>When staying with friends or relatives during a study leave activity, a flat rate sum (£25 per night) can be claimed, which includes an allowance for meals; receipts are not required.</w:t>
      </w:r>
    </w:p>
    <w:p w14:paraId="360E29EF" w14:textId="37C1A7AE" w:rsidR="00897FE1" w:rsidRDefault="00897FE1" w:rsidP="00862847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83401B">
        <w:rPr>
          <w:rFonts w:asciiTheme="majorHAnsi" w:hAnsiTheme="majorHAnsi" w:cstheme="majorHAnsi"/>
          <w:sz w:val="22"/>
          <w:szCs w:val="22"/>
        </w:rPr>
        <w:t>Receipts must be provided for all accommodation expenses</w:t>
      </w:r>
      <w:r w:rsidR="0083401B" w:rsidRPr="0083401B">
        <w:rPr>
          <w:rFonts w:asciiTheme="majorHAnsi" w:hAnsiTheme="majorHAnsi" w:cstheme="majorHAnsi"/>
          <w:sz w:val="22"/>
          <w:szCs w:val="22"/>
        </w:rPr>
        <w:t>.</w:t>
      </w:r>
    </w:p>
    <w:p w14:paraId="50CC3639" w14:textId="77777777" w:rsidR="009246BF" w:rsidRPr="008646EC" w:rsidRDefault="009246BF" w:rsidP="009246BF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8646EC">
        <w:rPr>
          <w:rFonts w:asciiTheme="majorHAnsi" w:hAnsiTheme="majorHAnsi" w:cstheme="majorHAnsi"/>
          <w:b/>
          <w:bCs/>
          <w:sz w:val="22"/>
          <w:szCs w:val="22"/>
        </w:rPr>
        <w:t>International Study Leave</w:t>
      </w:r>
    </w:p>
    <w:p w14:paraId="45490B63" w14:textId="1371A041" w:rsidR="009246BF" w:rsidRPr="009246BF" w:rsidRDefault="009246BF" w:rsidP="009246BF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6A4870">
        <w:rPr>
          <w:rFonts w:asciiTheme="majorHAnsi" w:hAnsiTheme="majorHAnsi" w:cstheme="majorHAnsi"/>
          <w:sz w:val="22"/>
          <w:szCs w:val="22"/>
        </w:rPr>
        <w:t xml:space="preserve">Study </w:t>
      </w:r>
      <w:r w:rsidR="00D84DAB">
        <w:rPr>
          <w:rFonts w:asciiTheme="majorHAnsi" w:hAnsiTheme="majorHAnsi" w:cstheme="majorHAnsi"/>
          <w:sz w:val="22"/>
          <w:szCs w:val="22"/>
        </w:rPr>
        <w:t>l</w:t>
      </w:r>
      <w:r w:rsidRPr="006A4870">
        <w:rPr>
          <w:rFonts w:asciiTheme="majorHAnsi" w:hAnsiTheme="majorHAnsi" w:cstheme="majorHAnsi"/>
          <w:sz w:val="22"/>
          <w:szCs w:val="22"/>
        </w:rPr>
        <w:t xml:space="preserve">eave for </w:t>
      </w:r>
      <w:r w:rsidR="00B64798">
        <w:rPr>
          <w:rFonts w:asciiTheme="majorHAnsi" w:hAnsiTheme="majorHAnsi" w:cstheme="majorHAnsi"/>
          <w:sz w:val="22"/>
          <w:szCs w:val="22"/>
        </w:rPr>
        <w:t>i</w:t>
      </w:r>
      <w:r w:rsidRPr="006A4870">
        <w:rPr>
          <w:rFonts w:asciiTheme="majorHAnsi" w:hAnsiTheme="majorHAnsi" w:cstheme="majorHAnsi"/>
          <w:sz w:val="22"/>
          <w:szCs w:val="22"/>
        </w:rPr>
        <w:t xml:space="preserve">nternational activities (outside the UK require prospective approval from your Educational Supervisor, Training Programme Director and </w:t>
      </w:r>
      <w:r w:rsidR="008667A7">
        <w:rPr>
          <w:rFonts w:asciiTheme="majorHAnsi" w:hAnsiTheme="majorHAnsi" w:cstheme="majorHAnsi"/>
          <w:sz w:val="22"/>
          <w:szCs w:val="22"/>
        </w:rPr>
        <w:t>Associate Postgraduate Dental Dean</w:t>
      </w:r>
      <w:r w:rsidRPr="006A4870">
        <w:rPr>
          <w:rFonts w:asciiTheme="majorHAnsi" w:hAnsiTheme="majorHAnsi" w:cstheme="majorHAnsi"/>
          <w:sz w:val="22"/>
          <w:szCs w:val="22"/>
        </w:rPr>
        <w:t>. Any international study leave claims that have not been pre-approved by these roles will not be reimbursed. </w:t>
      </w:r>
    </w:p>
    <w:p w14:paraId="624FEA25" w14:textId="77777777" w:rsidR="00737D26" w:rsidRDefault="009246BF" w:rsidP="00DB3EAD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6A4870">
        <w:rPr>
          <w:rFonts w:asciiTheme="majorHAnsi" w:hAnsiTheme="majorHAnsi" w:cstheme="majorHAnsi"/>
          <w:sz w:val="22"/>
          <w:szCs w:val="22"/>
        </w:rPr>
        <w:t>International activities fall into two categories:</w:t>
      </w:r>
    </w:p>
    <w:p w14:paraId="07225F27" w14:textId="54191BE4" w:rsidR="00737D26" w:rsidRDefault="00737D26" w:rsidP="00DB3EAD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6A4870">
        <w:rPr>
          <w:rFonts w:asciiTheme="majorHAnsi" w:hAnsiTheme="majorHAnsi" w:cstheme="majorHAnsi"/>
          <w:sz w:val="22"/>
          <w:szCs w:val="22"/>
          <w:u w:val="single"/>
        </w:rPr>
        <w:t>Curricular</w:t>
      </w:r>
      <w:r w:rsidRPr="006A4870">
        <w:rPr>
          <w:rFonts w:asciiTheme="majorHAnsi" w:hAnsiTheme="majorHAnsi" w:cstheme="majorHAnsi"/>
          <w:sz w:val="22"/>
          <w:szCs w:val="22"/>
        </w:rPr>
        <w:t> – Attending courses/events outside of the UK to meet curricular requirements. This will only be considered in exceptional circumstances and when the curricular requirements cannot be met by attending a similar opportunity in the UK.</w:t>
      </w:r>
    </w:p>
    <w:p w14:paraId="78B7CEF7" w14:textId="77777777" w:rsidR="00DB3EAD" w:rsidRPr="006A4870" w:rsidRDefault="00DB3EAD" w:rsidP="00DB3EAD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4CA917B6" w14:textId="1D9D85E8" w:rsidR="00737D26" w:rsidRPr="00737D26" w:rsidRDefault="00737D26" w:rsidP="00737D26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6A4870">
        <w:rPr>
          <w:rFonts w:asciiTheme="majorHAnsi" w:hAnsiTheme="majorHAnsi" w:cstheme="majorHAnsi"/>
          <w:sz w:val="22"/>
          <w:szCs w:val="22"/>
          <w:u w:val="single"/>
        </w:rPr>
        <w:t>Aspirational</w:t>
      </w:r>
      <w:r w:rsidRPr="006A4870">
        <w:rPr>
          <w:rFonts w:asciiTheme="majorHAnsi" w:hAnsiTheme="majorHAnsi" w:cstheme="majorHAnsi"/>
          <w:sz w:val="22"/>
          <w:szCs w:val="22"/>
        </w:rPr>
        <w:t xml:space="preserve"> – Study leave that enhances the knowledge, skills and attitudes of the </w:t>
      </w:r>
      <w:r w:rsidR="006C5C9F">
        <w:rPr>
          <w:rFonts w:asciiTheme="majorHAnsi" w:hAnsiTheme="majorHAnsi" w:cstheme="majorHAnsi"/>
          <w:sz w:val="22"/>
          <w:szCs w:val="22"/>
        </w:rPr>
        <w:t>dentist in training</w:t>
      </w:r>
      <w:r w:rsidRPr="006A4870">
        <w:rPr>
          <w:rFonts w:asciiTheme="majorHAnsi" w:hAnsiTheme="majorHAnsi" w:cstheme="majorHAnsi"/>
          <w:sz w:val="22"/>
          <w:szCs w:val="22"/>
        </w:rPr>
        <w:t xml:space="preserve">, or enhances any aspect of patient care, but is not mapped to any direct curriculum requirements. For these special aspirational circumstances, it has been agreed that part-funding for one international conference or meeting may be approved </w:t>
      </w:r>
      <w:r w:rsidR="005960F8">
        <w:rPr>
          <w:rFonts w:asciiTheme="majorHAnsi" w:hAnsiTheme="majorHAnsi" w:cstheme="majorHAnsi"/>
          <w:sz w:val="22"/>
          <w:szCs w:val="22"/>
        </w:rPr>
        <w:t xml:space="preserve">on its own merit. </w:t>
      </w:r>
    </w:p>
    <w:p w14:paraId="0DFF71F8" w14:textId="620E92C0" w:rsidR="00737D26" w:rsidRPr="00737D26" w:rsidRDefault="00737D26" w:rsidP="00737D26">
      <w:pPr>
        <w:shd w:val="clear" w:color="auto" w:fill="FFFFFF" w:themeFill="background1"/>
        <w:spacing w:after="360"/>
        <w:rPr>
          <w:rFonts w:asciiTheme="majorHAnsi" w:hAnsiTheme="majorHAnsi" w:cstheme="majorHAnsi"/>
          <w:b/>
          <w:bCs/>
          <w:sz w:val="22"/>
          <w:szCs w:val="22"/>
        </w:rPr>
      </w:pPr>
      <w:r w:rsidRPr="00737D26">
        <w:rPr>
          <w:rFonts w:asciiTheme="majorHAnsi" w:hAnsiTheme="majorHAnsi" w:cstheme="majorHAnsi"/>
          <w:sz w:val="22"/>
          <w:szCs w:val="22"/>
        </w:rPr>
        <w:t>The part-funded of attendance, where approved – reflects both NHSE’s and your commitment to your development. Part-funding may be provided to support the conference/course fee </w:t>
      </w:r>
      <w:r w:rsidRPr="00737D26">
        <w:rPr>
          <w:rFonts w:asciiTheme="majorHAnsi" w:hAnsiTheme="majorHAnsi" w:cstheme="majorHAnsi"/>
          <w:b/>
          <w:bCs/>
          <w:sz w:val="22"/>
          <w:szCs w:val="22"/>
        </w:rPr>
        <w:t>or</w:t>
      </w:r>
      <w:r w:rsidRPr="00737D26">
        <w:rPr>
          <w:rFonts w:asciiTheme="majorHAnsi" w:hAnsiTheme="majorHAnsi" w:cstheme="majorHAnsi"/>
          <w:sz w:val="22"/>
          <w:szCs w:val="22"/>
        </w:rPr>
        <w:t> travel and accommodation costs (in line with local deanery guidance for claiming expenses), </w:t>
      </w:r>
      <w:r w:rsidRPr="00737D26">
        <w:rPr>
          <w:rFonts w:asciiTheme="majorHAnsi" w:hAnsiTheme="majorHAnsi" w:cstheme="majorHAnsi"/>
          <w:b/>
          <w:bCs/>
          <w:sz w:val="22"/>
          <w:szCs w:val="22"/>
        </w:rPr>
        <w:t>whichever is the lower amount</w:t>
      </w:r>
      <w:r w:rsidR="00314DFB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1BC3EA33" w14:textId="77777777" w:rsidR="00737D26" w:rsidRPr="00737D26" w:rsidRDefault="00737D26" w:rsidP="00046F82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737D26">
        <w:rPr>
          <w:rFonts w:asciiTheme="majorHAnsi" w:hAnsiTheme="majorHAnsi" w:cstheme="majorHAnsi"/>
          <w:sz w:val="22"/>
          <w:szCs w:val="22"/>
        </w:rPr>
        <w:t>The overnight accommodation rate for international study leave must not exceed £150 per night. </w:t>
      </w:r>
    </w:p>
    <w:p w14:paraId="21F9CF1A" w14:textId="77777777" w:rsidR="00595914" w:rsidRPr="00046F82" w:rsidRDefault="00595914" w:rsidP="00046F82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046F82">
        <w:rPr>
          <w:rFonts w:asciiTheme="majorHAnsi" w:hAnsiTheme="majorHAnsi" w:cstheme="majorHAnsi"/>
          <w:sz w:val="22"/>
          <w:szCs w:val="22"/>
        </w:rPr>
        <w:t xml:space="preserve">Subsistence expenses </w:t>
      </w:r>
      <w:r w:rsidRPr="00314DFB">
        <w:rPr>
          <w:rFonts w:asciiTheme="majorHAnsi" w:hAnsiTheme="majorHAnsi" w:cstheme="majorHAnsi"/>
          <w:b/>
          <w:bCs/>
          <w:sz w:val="22"/>
          <w:szCs w:val="22"/>
        </w:rPr>
        <w:t>will not</w:t>
      </w:r>
      <w:r w:rsidRPr="00046F82">
        <w:rPr>
          <w:rFonts w:asciiTheme="majorHAnsi" w:hAnsiTheme="majorHAnsi" w:cstheme="majorHAnsi"/>
          <w:sz w:val="22"/>
          <w:szCs w:val="22"/>
        </w:rPr>
        <w:t xml:space="preserve"> be reimbursed by NHSE for international study leave.  </w:t>
      </w:r>
    </w:p>
    <w:p w14:paraId="078ACCC0" w14:textId="77777777" w:rsidR="00595914" w:rsidRPr="00595914" w:rsidRDefault="00595914" w:rsidP="00046F82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595914">
        <w:rPr>
          <w:rFonts w:asciiTheme="majorHAnsi" w:hAnsiTheme="majorHAnsi" w:cstheme="majorHAnsi"/>
          <w:sz w:val="22"/>
          <w:szCs w:val="22"/>
        </w:rPr>
        <w:t>Receipts must be provided for all expenses otherwise your claim will not be processed.</w:t>
      </w:r>
    </w:p>
    <w:p w14:paraId="4CE84F5D" w14:textId="77777777" w:rsidR="00B37726" w:rsidRPr="00B37726" w:rsidRDefault="00B37726" w:rsidP="00B37726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37726">
        <w:rPr>
          <w:rFonts w:asciiTheme="majorHAnsi" w:hAnsiTheme="majorHAnsi" w:cstheme="majorHAnsi"/>
          <w:b/>
          <w:bCs/>
          <w:sz w:val="22"/>
          <w:szCs w:val="22"/>
        </w:rPr>
        <w:t>Interviews</w:t>
      </w:r>
    </w:p>
    <w:p w14:paraId="14774F35" w14:textId="5475F943" w:rsidR="00B37726" w:rsidRPr="00B37726" w:rsidRDefault="00B37726" w:rsidP="00B37726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 w:rsidRPr="00B37726">
        <w:rPr>
          <w:rFonts w:asciiTheme="majorHAnsi" w:hAnsiTheme="majorHAnsi" w:cstheme="majorHAnsi"/>
          <w:sz w:val="22"/>
          <w:szCs w:val="22"/>
        </w:rPr>
        <w:t>Study leave cannot be used to buy revision books, online resources, journal subscriptions, membership fees, accreditation fees, attend interviews or cover exam fees. </w:t>
      </w:r>
    </w:p>
    <w:p w14:paraId="2506860E" w14:textId="77777777" w:rsidR="00902F90" w:rsidRPr="00CD6E48" w:rsidRDefault="00902F90" w:rsidP="00CD6E48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CD6E48">
        <w:rPr>
          <w:rFonts w:asciiTheme="majorHAnsi" w:hAnsiTheme="majorHAnsi" w:cstheme="majorHAnsi"/>
          <w:b/>
          <w:bCs/>
          <w:sz w:val="22"/>
          <w:szCs w:val="22"/>
        </w:rPr>
        <w:t>Leadership Management Courses</w:t>
      </w:r>
    </w:p>
    <w:p w14:paraId="06519F95" w14:textId="7E480D50" w:rsidR="00902F90" w:rsidRPr="00902F90" w:rsidRDefault="00CD6E48" w:rsidP="00902F90">
      <w:pPr>
        <w:shd w:val="clear" w:color="auto" w:fill="FFFFFF" w:themeFill="background1"/>
        <w:spacing w:after="360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Den</w:t>
      </w:r>
      <w:r w:rsidR="00314DFB">
        <w:rPr>
          <w:rFonts w:asciiTheme="majorHAnsi" w:hAnsiTheme="majorHAnsi" w:cstheme="majorHAnsi"/>
          <w:sz w:val="22"/>
          <w:szCs w:val="22"/>
        </w:rPr>
        <w:t>tists in training</w:t>
      </w:r>
      <w:r w:rsidR="00902F90" w:rsidRPr="00902F90">
        <w:rPr>
          <w:rFonts w:asciiTheme="majorHAnsi" w:hAnsiTheme="majorHAnsi" w:cstheme="majorHAnsi"/>
          <w:sz w:val="22"/>
          <w:szCs w:val="22"/>
        </w:rPr>
        <w:t xml:space="preserve"> seeking leadership training should in the first instance be encouraged to access the free NHS Leadership Academy Edward Jenner</w:t>
      </w:r>
      <w:r w:rsidR="00D13EF8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Trainees</w:t>
      </w:r>
      <w:r w:rsidR="00902F90" w:rsidRPr="00902F90">
        <w:rPr>
          <w:rFonts w:asciiTheme="majorHAnsi" w:hAnsiTheme="majorHAnsi" w:cstheme="majorHAnsi"/>
          <w:sz w:val="22"/>
          <w:szCs w:val="22"/>
        </w:rPr>
        <w:t xml:space="preserve"> should only consider other options if these courses are not available. </w:t>
      </w:r>
    </w:p>
    <w:p w14:paraId="5AF9D817" w14:textId="3336E3A9" w:rsidR="004D3EA4" w:rsidRPr="00FD59E2" w:rsidRDefault="004D3EA4" w:rsidP="00FD59E2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D59E2">
        <w:rPr>
          <w:rFonts w:asciiTheme="majorHAnsi" w:hAnsiTheme="majorHAnsi" w:cstheme="majorHAnsi"/>
          <w:b/>
          <w:bCs/>
          <w:sz w:val="22"/>
          <w:szCs w:val="22"/>
        </w:rPr>
        <w:t xml:space="preserve">Out of Programme </w:t>
      </w:r>
    </w:p>
    <w:p w14:paraId="259C3A7B" w14:textId="4BF80DBC" w:rsidR="004D3EA4" w:rsidRDefault="00892ACB" w:rsidP="00DA6B7E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Dentists in training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 that are on an OOP for Research</w:t>
      </w:r>
      <w:r w:rsidR="00C35154">
        <w:rPr>
          <w:rFonts w:asciiTheme="majorHAnsi" w:hAnsiTheme="majorHAnsi" w:cstheme="majorHAnsi"/>
          <w:sz w:val="22"/>
          <w:szCs w:val="22"/>
        </w:rPr>
        <w:t xml:space="preserve"> (OOPR)</w:t>
      </w:r>
      <w:r w:rsidR="004D3EA4" w:rsidRPr="004D3EA4">
        <w:rPr>
          <w:rFonts w:asciiTheme="majorHAnsi" w:hAnsiTheme="majorHAnsi" w:cstheme="majorHAnsi"/>
          <w:sz w:val="22"/>
          <w:szCs w:val="22"/>
        </w:rPr>
        <w:t>, Career Break</w:t>
      </w:r>
      <w:r>
        <w:rPr>
          <w:rFonts w:asciiTheme="majorHAnsi" w:hAnsiTheme="majorHAnsi" w:cstheme="majorHAnsi"/>
          <w:sz w:val="22"/>
          <w:szCs w:val="22"/>
        </w:rPr>
        <w:t xml:space="preserve"> (OOPC)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 or Experience</w:t>
      </w:r>
      <w:r>
        <w:rPr>
          <w:rFonts w:asciiTheme="majorHAnsi" w:hAnsiTheme="majorHAnsi" w:cstheme="majorHAnsi"/>
          <w:sz w:val="22"/>
          <w:szCs w:val="22"/>
        </w:rPr>
        <w:t xml:space="preserve"> (OOPE)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 are not eligible to apply for study leave</w:t>
      </w:r>
      <w:r w:rsidR="00FD59E2">
        <w:rPr>
          <w:rFonts w:asciiTheme="majorHAnsi" w:hAnsiTheme="majorHAnsi" w:cstheme="majorHAnsi"/>
          <w:sz w:val="22"/>
          <w:szCs w:val="22"/>
        </w:rPr>
        <w:t>.</w:t>
      </w:r>
      <w:r w:rsidR="00254F0B">
        <w:rPr>
          <w:rFonts w:asciiTheme="majorHAnsi" w:hAnsiTheme="majorHAnsi" w:cstheme="majorHAnsi"/>
          <w:sz w:val="22"/>
          <w:szCs w:val="22"/>
        </w:rPr>
        <w:t xml:space="preserve"> </w:t>
      </w:r>
      <w:r w:rsidR="002F1DA5">
        <w:rPr>
          <w:rFonts w:asciiTheme="majorHAnsi" w:hAnsiTheme="majorHAnsi" w:cstheme="majorHAnsi"/>
          <w:sz w:val="22"/>
          <w:szCs w:val="22"/>
        </w:rPr>
        <w:t>Those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 on an OOP</w:t>
      </w:r>
      <w:r w:rsidR="00F134D0">
        <w:rPr>
          <w:rFonts w:asciiTheme="majorHAnsi" w:hAnsiTheme="majorHAnsi" w:cstheme="majorHAnsi"/>
          <w:sz w:val="22"/>
          <w:szCs w:val="22"/>
        </w:rPr>
        <w:t xml:space="preserve"> for Training</w:t>
      </w:r>
      <w:r>
        <w:rPr>
          <w:rFonts w:asciiTheme="majorHAnsi" w:hAnsiTheme="majorHAnsi" w:cstheme="majorHAnsi"/>
          <w:sz w:val="22"/>
          <w:szCs w:val="22"/>
        </w:rPr>
        <w:t xml:space="preserve"> (OOPT)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 will only be approved and funded where there is clear evidence linking the application to the specific curriculum requirement for the </w:t>
      </w:r>
      <w:r w:rsidR="00F134D0">
        <w:rPr>
          <w:rFonts w:asciiTheme="majorHAnsi" w:hAnsiTheme="majorHAnsi" w:cstheme="majorHAnsi"/>
          <w:sz w:val="22"/>
          <w:szCs w:val="22"/>
        </w:rPr>
        <w:t>trainee</w:t>
      </w:r>
      <w:r w:rsidR="004D3EA4" w:rsidRPr="004D3EA4">
        <w:rPr>
          <w:rFonts w:asciiTheme="majorHAnsi" w:hAnsiTheme="majorHAnsi" w:cstheme="majorHAnsi"/>
          <w:sz w:val="22"/>
          <w:szCs w:val="22"/>
        </w:rPr>
        <w:t>’s individual specialty.</w:t>
      </w:r>
    </w:p>
    <w:p w14:paraId="5742580F" w14:textId="77777777" w:rsidR="00DA6B7E" w:rsidRDefault="00DA6B7E" w:rsidP="00DA6B7E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02E1A2CC" w14:textId="77777777" w:rsidR="00AE526E" w:rsidRDefault="00D25940" w:rsidP="00AE526E">
      <w:pPr>
        <w:shd w:val="clear" w:color="auto" w:fill="FFFFFF" w:themeFill="background1"/>
        <w:rPr>
          <w:rFonts w:asciiTheme="majorHAnsi" w:hAnsiTheme="majorHAnsi" w:cstheme="majorHAnsi"/>
          <w:b/>
          <w:bCs/>
          <w:sz w:val="22"/>
          <w:szCs w:val="22"/>
        </w:rPr>
      </w:pPr>
      <w:r w:rsidRPr="00D25940">
        <w:rPr>
          <w:rFonts w:asciiTheme="majorHAnsi" w:hAnsiTheme="majorHAnsi" w:cstheme="majorHAnsi"/>
          <w:b/>
          <w:bCs/>
          <w:sz w:val="22"/>
          <w:szCs w:val="22"/>
        </w:rPr>
        <w:t>Parental Leave</w:t>
      </w:r>
    </w:p>
    <w:p w14:paraId="3DE3CCF6" w14:textId="329A82CA" w:rsidR="004D3EA4" w:rsidRDefault="002F1DA5" w:rsidP="00AE526E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Dentists in training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 on Parental Leave are eligible to apply for </w:t>
      </w:r>
      <w:r w:rsidR="00AE526E">
        <w:rPr>
          <w:rFonts w:asciiTheme="majorHAnsi" w:hAnsiTheme="majorHAnsi" w:cstheme="majorHAnsi"/>
          <w:sz w:val="22"/>
          <w:szCs w:val="22"/>
        </w:rPr>
        <w:t>s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tudy </w:t>
      </w:r>
      <w:r w:rsidR="00AE526E">
        <w:rPr>
          <w:rFonts w:asciiTheme="majorHAnsi" w:hAnsiTheme="majorHAnsi" w:cstheme="majorHAnsi"/>
          <w:sz w:val="22"/>
          <w:szCs w:val="22"/>
        </w:rPr>
        <w:t>l</w:t>
      </w:r>
      <w:r w:rsidR="004D3EA4" w:rsidRPr="004D3EA4">
        <w:rPr>
          <w:rFonts w:asciiTheme="majorHAnsi" w:hAnsiTheme="majorHAnsi" w:cstheme="majorHAnsi"/>
          <w:sz w:val="22"/>
          <w:szCs w:val="22"/>
        </w:rPr>
        <w:t xml:space="preserve">eave. </w:t>
      </w:r>
    </w:p>
    <w:p w14:paraId="19443EB8" w14:textId="77777777" w:rsidR="00AE526E" w:rsidRDefault="00AE526E" w:rsidP="00AE526E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6DB2B4DF" w14:textId="5DB6F3F9" w:rsidR="00AE526E" w:rsidRPr="00AE526E" w:rsidRDefault="00AE526E" w:rsidP="00AE526E">
      <w:pPr>
        <w:shd w:val="clear" w:color="auto" w:fill="FFFFFF" w:themeFill="background1"/>
        <w:rPr>
          <w:rFonts w:asciiTheme="majorHAnsi" w:hAnsiTheme="majorHAnsi" w:cstheme="majorHAnsi"/>
          <w:b/>
          <w:bCs/>
          <w:sz w:val="22"/>
          <w:szCs w:val="22"/>
        </w:rPr>
      </w:pPr>
      <w:r w:rsidRPr="00AE526E">
        <w:rPr>
          <w:rFonts w:asciiTheme="majorHAnsi" w:hAnsiTheme="majorHAnsi" w:cstheme="majorHAnsi"/>
          <w:b/>
          <w:bCs/>
          <w:sz w:val="22"/>
          <w:szCs w:val="22"/>
        </w:rPr>
        <w:t>Period of Grace</w:t>
      </w:r>
    </w:p>
    <w:p w14:paraId="31BD3731" w14:textId="76A84AC1" w:rsidR="00254F0B" w:rsidRPr="0099060C" w:rsidRDefault="00A956DA" w:rsidP="00254F0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Dentists</w:t>
      </w:r>
      <w:r w:rsidR="00254F0B" w:rsidRPr="0099060C">
        <w:rPr>
          <w:rFonts w:asciiTheme="majorHAnsi" w:hAnsiTheme="majorHAnsi" w:cstheme="majorHAnsi"/>
          <w:sz w:val="22"/>
          <w:szCs w:val="22"/>
        </w:rPr>
        <w:t xml:space="preserve"> in their Period of Grace </w:t>
      </w:r>
      <w:r w:rsidR="00254F0B" w:rsidRPr="00E4155E">
        <w:rPr>
          <w:rFonts w:asciiTheme="majorHAnsi" w:hAnsiTheme="majorHAnsi" w:cstheme="majorHAnsi"/>
          <w:sz w:val="22"/>
          <w:szCs w:val="22"/>
        </w:rPr>
        <w:t>are not eligible</w:t>
      </w:r>
      <w:r w:rsidR="00254F0B" w:rsidRPr="0099060C">
        <w:rPr>
          <w:rFonts w:asciiTheme="majorHAnsi" w:hAnsiTheme="majorHAnsi" w:cstheme="majorHAnsi"/>
          <w:sz w:val="22"/>
          <w:szCs w:val="22"/>
        </w:rPr>
        <w:t xml:space="preserve"> for study leave funding. Once training has been completed any further professional development, skill, or knowledge acquisition during this period of time should be considered as continuous professional development (CPD).</w:t>
      </w:r>
    </w:p>
    <w:p w14:paraId="42FB28D2" w14:textId="77777777" w:rsidR="00254F0B" w:rsidRPr="006A4870" w:rsidRDefault="00254F0B" w:rsidP="00254F0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4BE757DD" w14:textId="77777777" w:rsidR="005273FC" w:rsidRPr="008139A8" w:rsidRDefault="005273FC" w:rsidP="008139A8">
      <w:pPr>
        <w:shd w:val="clear" w:color="auto" w:fill="FFFFFF" w:themeFill="background1"/>
        <w:rPr>
          <w:rFonts w:asciiTheme="majorHAnsi" w:hAnsiTheme="majorHAnsi" w:cstheme="majorHAnsi"/>
          <w:b/>
          <w:bCs/>
          <w:sz w:val="22"/>
          <w:szCs w:val="22"/>
        </w:rPr>
      </w:pPr>
      <w:r w:rsidRPr="008139A8">
        <w:rPr>
          <w:rFonts w:asciiTheme="majorHAnsi" w:hAnsiTheme="majorHAnsi" w:cstheme="majorHAnsi"/>
          <w:b/>
          <w:bCs/>
          <w:sz w:val="22"/>
          <w:szCs w:val="22"/>
        </w:rPr>
        <w:t>Subsistence Expenses</w:t>
      </w:r>
    </w:p>
    <w:p w14:paraId="61FB8493" w14:textId="1DAD4F31" w:rsidR="00F57CB8" w:rsidRDefault="005273FC" w:rsidP="005273FC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8139A8">
        <w:rPr>
          <w:rFonts w:asciiTheme="majorHAnsi" w:hAnsiTheme="majorHAnsi" w:cstheme="majorHAnsi"/>
          <w:sz w:val="22"/>
          <w:szCs w:val="22"/>
          <w:u w:val="single"/>
        </w:rPr>
        <w:t>Lunch allowance</w:t>
      </w:r>
      <w:r w:rsidR="00E4155E">
        <w:rPr>
          <w:rFonts w:asciiTheme="majorHAnsi" w:hAnsiTheme="majorHAnsi" w:cstheme="majorHAnsi"/>
          <w:sz w:val="22"/>
          <w:szCs w:val="22"/>
        </w:rPr>
        <w:t>:</w:t>
      </w:r>
      <w:r w:rsidR="00E96245" w:rsidRPr="000546F8">
        <w:rPr>
          <w:rFonts w:asciiTheme="majorHAnsi" w:hAnsiTheme="majorHAnsi" w:cstheme="majorHAnsi"/>
          <w:sz w:val="22"/>
          <w:szCs w:val="22"/>
        </w:rPr>
        <w:t xml:space="preserve"> </w:t>
      </w:r>
      <w:r w:rsidRPr="000546F8">
        <w:rPr>
          <w:rFonts w:asciiTheme="majorHAnsi" w:hAnsiTheme="majorHAnsi" w:cstheme="majorHAnsi"/>
          <w:sz w:val="22"/>
          <w:szCs w:val="22"/>
        </w:rPr>
        <w:t>£5 maximum</w:t>
      </w:r>
      <w:r w:rsidR="00E96245" w:rsidRPr="000546F8">
        <w:rPr>
          <w:rFonts w:asciiTheme="majorHAnsi" w:hAnsiTheme="majorHAnsi" w:cstheme="majorHAnsi"/>
          <w:sz w:val="22"/>
          <w:szCs w:val="22"/>
        </w:rPr>
        <w:t>. Receipts</w:t>
      </w:r>
      <w:r w:rsidR="00E96245" w:rsidRPr="00E96245">
        <w:rPr>
          <w:rFonts w:asciiTheme="majorHAnsi" w:hAnsiTheme="majorHAnsi" w:cstheme="majorHAnsi"/>
          <w:sz w:val="22"/>
          <w:szCs w:val="22"/>
        </w:rPr>
        <w:t xml:space="preserve"> must include location and date of the event.</w:t>
      </w:r>
      <w:r w:rsidR="00E96245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4024B10A" w14:textId="2E520ABE" w:rsidR="00F57CB8" w:rsidRDefault="005273FC" w:rsidP="005273FC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5273FC">
        <w:rPr>
          <w:rFonts w:asciiTheme="majorHAnsi" w:hAnsiTheme="majorHAnsi" w:cstheme="majorHAnsi"/>
          <w:sz w:val="22"/>
          <w:szCs w:val="22"/>
        </w:rPr>
        <w:br/>
      </w:r>
      <w:r w:rsidRPr="00F57CB8">
        <w:rPr>
          <w:rFonts w:asciiTheme="majorHAnsi" w:hAnsiTheme="majorHAnsi" w:cstheme="majorHAnsi"/>
          <w:sz w:val="22"/>
          <w:szCs w:val="22"/>
          <w:u w:val="single"/>
        </w:rPr>
        <w:t>Evening meal allowance</w:t>
      </w:r>
      <w:r w:rsidR="00B56FFE" w:rsidRPr="009515F3">
        <w:rPr>
          <w:rFonts w:asciiTheme="majorHAnsi" w:hAnsiTheme="majorHAnsi" w:cstheme="majorHAnsi"/>
          <w:sz w:val="22"/>
          <w:szCs w:val="22"/>
        </w:rPr>
        <w:t xml:space="preserve"> of £15</w:t>
      </w:r>
      <w:r w:rsidR="000546F8" w:rsidRPr="009515F3">
        <w:rPr>
          <w:rFonts w:asciiTheme="majorHAnsi" w:hAnsiTheme="majorHAnsi" w:cstheme="majorHAnsi"/>
          <w:sz w:val="22"/>
          <w:szCs w:val="22"/>
        </w:rPr>
        <w:t xml:space="preserve"> maximum</w:t>
      </w:r>
      <w:r w:rsidR="00F5594C" w:rsidRPr="009515F3">
        <w:rPr>
          <w:rFonts w:asciiTheme="majorHAnsi" w:hAnsiTheme="majorHAnsi" w:cstheme="majorHAnsi"/>
          <w:sz w:val="22"/>
          <w:szCs w:val="22"/>
        </w:rPr>
        <w:t xml:space="preserve"> can only be claimed if the event is taking place</w:t>
      </w:r>
      <w:r w:rsidR="00B56FFE" w:rsidRPr="009515F3">
        <w:rPr>
          <w:rFonts w:asciiTheme="majorHAnsi" w:hAnsiTheme="majorHAnsi" w:cstheme="majorHAnsi"/>
          <w:sz w:val="22"/>
          <w:szCs w:val="22"/>
        </w:rPr>
        <w:t xml:space="preserve"> over two days. </w:t>
      </w:r>
      <w:r w:rsidR="00F5594C" w:rsidRPr="009515F3">
        <w:rPr>
          <w:rFonts w:asciiTheme="majorHAnsi" w:hAnsiTheme="majorHAnsi" w:cstheme="majorHAnsi"/>
          <w:sz w:val="22"/>
          <w:szCs w:val="22"/>
        </w:rPr>
        <w:t xml:space="preserve"> </w:t>
      </w:r>
      <w:r w:rsidRPr="009515F3">
        <w:rPr>
          <w:rFonts w:asciiTheme="majorHAnsi" w:hAnsiTheme="majorHAnsi" w:cstheme="majorHAnsi"/>
          <w:b/>
          <w:bCs/>
          <w:sz w:val="22"/>
          <w:szCs w:val="22"/>
        </w:rPr>
        <w:br/>
      </w:r>
    </w:p>
    <w:p w14:paraId="1B13FD0F" w14:textId="76E0E155" w:rsidR="005273FC" w:rsidRPr="005273FC" w:rsidRDefault="005273FC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5273FC">
        <w:rPr>
          <w:rFonts w:asciiTheme="majorHAnsi" w:hAnsiTheme="majorHAnsi" w:cstheme="majorHAnsi"/>
          <w:sz w:val="22"/>
          <w:szCs w:val="22"/>
        </w:rPr>
        <w:t>Subsistence expenses will not usually be reimbursed by NHSE for international activities.</w:t>
      </w:r>
    </w:p>
    <w:p w14:paraId="6A786BB1" w14:textId="77777777" w:rsidR="00FD0B64" w:rsidRDefault="00FD0B64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8DFDAE0" w14:textId="3E735B0A" w:rsidR="005273FC" w:rsidRDefault="005273FC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5273FC">
        <w:rPr>
          <w:rFonts w:asciiTheme="majorHAnsi" w:hAnsiTheme="majorHAnsi" w:cstheme="majorHAnsi"/>
          <w:sz w:val="22"/>
          <w:szCs w:val="22"/>
        </w:rPr>
        <w:t>Receipts must be provided for all subsistence expenses otherwise your claim will not be processed.</w:t>
      </w:r>
    </w:p>
    <w:p w14:paraId="289AB22E" w14:textId="77777777" w:rsidR="00FD0B64" w:rsidRPr="005273FC" w:rsidRDefault="00FD0B64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EDCA694" w14:textId="347B8DB6" w:rsidR="005273FC" w:rsidRPr="005273FC" w:rsidRDefault="005273FC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5273FC">
        <w:rPr>
          <w:rFonts w:asciiTheme="majorHAnsi" w:hAnsiTheme="majorHAnsi" w:cstheme="majorHAnsi"/>
          <w:sz w:val="22"/>
          <w:szCs w:val="22"/>
        </w:rPr>
        <w:t>Receipts and certificate of attendance for the study leave activity should be attached individually to the expenses claim</w:t>
      </w:r>
      <w:r w:rsidR="00B45125">
        <w:rPr>
          <w:rFonts w:asciiTheme="majorHAnsi" w:hAnsiTheme="majorHAnsi" w:cstheme="majorHAnsi"/>
          <w:sz w:val="22"/>
          <w:szCs w:val="22"/>
        </w:rPr>
        <w:t>.</w:t>
      </w:r>
    </w:p>
    <w:p w14:paraId="21EF687D" w14:textId="77777777" w:rsidR="005273FC" w:rsidRDefault="005273FC" w:rsidP="005273FC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</w:rPr>
      </w:pPr>
    </w:p>
    <w:p w14:paraId="76A70234" w14:textId="157F41B1" w:rsidR="00B47181" w:rsidRPr="00B473E9" w:rsidRDefault="003742A3" w:rsidP="00952C5D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B473E9">
        <w:rPr>
          <w:rFonts w:asciiTheme="majorHAnsi" w:hAnsiTheme="majorHAnsi" w:cstheme="majorHAnsi"/>
          <w:b/>
          <w:bCs/>
          <w:sz w:val="22"/>
          <w:szCs w:val="22"/>
        </w:rPr>
        <w:t>Travel Expenses</w:t>
      </w:r>
    </w:p>
    <w:p w14:paraId="60E8E985" w14:textId="77777777" w:rsidR="008E4493" w:rsidRPr="00AF6191" w:rsidRDefault="008E4493" w:rsidP="008E4493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AF6191">
        <w:rPr>
          <w:rFonts w:asciiTheme="majorHAnsi" w:hAnsiTheme="majorHAnsi" w:cstheme="majorHAnsi"/>
          <w:sz w:val="22"/>
          <w:szCs w:val="22"/>
        </w:rPr>
        <w:t xml:space="preserve">All travel should be </w:t>
      </w:r>
      <w:r w:rsidRPr="00AF6191">
        <w:rPr>
          <w:rFonts w:asciiTheme="majorHAnsi" w:hAnsiTheme="majorHAnsi" w:cstheme="majorHAnsi"/>
          <w:b/>
          <w:bCs/>
          <w:sz w:val="22"/>
          <w:szCs w:val="22"/>
        </w:rPr>
        <w:t xml:space="preserve">calculated </w:t>
      </w:r>
      <w:r w:rsidRPr="00AF6191">
        <w:rPr>
          <w:rFonts w:asciiTheme="majorHAnsi" w:hAnsiTheme="majorHAnsi" w:cstheme="majorHAnsi"/>
          <w:sz w:val="22"/>
          <w:szCs w:val="22"/>
        </w:rPr>
        <w:t xml:space="preserve">from the base (main place of work) to the event and back. </w:t>
      </w:r>
    </w:p>
    <w:p w14:paraId="32FCDEEC" w14:textId="77777777" w:rsidR="00BE55B0" w:rsidRDefault="00BE55B0" w:rsidP="008E4493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18946C44" w14:textId="77777777" w:rsidR="00CF2C4E" w:rsidRPr="00B473E9" w:rsidRDefault="003742A3" w:rsidP="00CF2C4E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317390">
        <w:rPr>
          <w:rFonts w:asciiTheme="majorHAnsi" w:hAnsiTheme="majorHAnsi" w:cstheme="majorHAnsi"/>
          <w:sz w:val="22"/>
          <w:szCs w:val="22"/>
        </w:rPr>
        <w:t xml:space="preserve">You must use the most </w:t>
      </w:r>
      <w:r w:rsidR="00952C5D" w:rsidRPr="00317390">
        <w:rPr>
          <w:rFonts w:asciiTheme="majorHAnsi" w:hAnsiTheme="majorHAnsi" w:cstheme="majorHAnsi"/>
          <w:sz w:val="22"/>
          <w:szCs w:val="22"/>
        </w:rPr>
        <w:t>cost-effective</w:t>
      </w:r>
      <w:r w:rsidRPr="00317390">
        <w:rPr>
          <w:rFonts w:asciiTheme="majorHAnsi" w:hAnsiTheme="majorHAnsi" w:cstheme="majorHAnsi"/>
          <w:sz w:val="22"/>
          <w:szCs w:val="22"/>
        </w:rPr>
        <w:t xml:space="preserve"> transport means possible.</w:t>
      </w:r>
      <w:r w:rsidR="008B47AA" w:rsidRPr="00B473E9">
        <w:rPr>
          <w:rFonts w:asciiTheme="majorHAnsi" w:hAnsiTheme="majorHAnsi" w:cstheme="majorHAnsi"/>
          <w:sz w:val="22"/>
          <w:szCs w:val="22"/>
        </w:rPr>
        <w:t xml:space="preserve"> </w:t>
      </w:r>
      <w:r w:rsidR="00CF2C4E" w:rsidRPr="00B473E9">
        <w:rPr>
          <w:rFonts w:asciiTheme="majorHAnsi" w:hAnsiTheme="majorHAnsi" w:cstheme="majorHAnsi"/>
          <w:sz w:val="22"/>
          <w:szCs w:val="22"/>
        </w:rPr>
        <w:t>NHSE reserves the right to only reimburse the cost of the cheapest fare. </w:t>
      </w:r>
    </w:p>
    <w:p w14:paraId="068A5929" w14:textId="77777777" w:rsidR="00952C5D" w:rsidRPr="00B473E9" w:rsidRDefault="00952C5D" w:rsidP="00952C5D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3A005A65" w14:textId="0B17EAF9" w:rsidR="00405551" w:rsidRPr="00B473E9" w:rsidRDefault="00116E02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  <w:u w:val="single"/>
        </w:rPr>
        <w:t>By Car</w:t>
      </w:r>
      <w:r w:rsidRPr="00B473E9">
        <w:rPr>
          <w:rFonts w:asciiTheme="majorHAnsi" w:hAnsiTheme="majorHAnsi" w:cstheme="majorHAnsi"/>
          <w:sz w:val="22"/>
          <w:szCs w:val="22"/>
        </w:rPr>
        <w:t xml:space="preserve">: </w:t>
      </w:r>
      <w:r w:rsidR="007327BF">
        <w:rPr>
          <w:rFonts w:asciiTheme="majorHAnsi" w:hAnsiTheme="majorHAnsi" w:cstheme="majorHAnsi"/>
          <w:sz w:val="22"/>
          <w:szCs w:val="22"/>
        </w:rPr>
        <w:t xml:space="preserve">Trainees </w:t>
      </w:r>
      <w:r w:rsidRPr="00B473E9">
        <w:rPr>
          <w:rFonts w:asciiTheme="majorHAnsi" w:hAnsiTheme="majorHAnsi" w:cstheme="majorHAnsi"/>
          <w:sz w:val="22"/>
          <w:szCs w:val="22"/>
        </w:rPr>
        <w:t>will be paid at the rate of 30p per mile</w:t>
      </w:r>
      <w:r w:rsidR="00D547A9" w:rsidRPr="00B473E9">
        <w:rPr>
          <w:rFonts w:asciiTheme="majorHAnsi" w:hAnsiTheme="majorHAnsi" w:cstheme="majorHAnsi"/>
          <w:sz w:val="22"/>
          <w:szCs w:val="22"/>
        </w:rPr>
        <w:t>.</w:t>
      </w:r>
      <w:r w:rsidR="00DD125F">
        <w:rPr>
          <w:rFonts w:asciiTheme="majorHAnsi" w:hAnsiTheme="majorHAnsi" w:cstheme="majorHAnsi"/>
          <w:sz w:val="22"/>
          <w:szCs w:val="22"/>
        </w:rPr>
        <w:t xml:space="preserve"> </w:t>
      </w:r>
      <w:r w:rsidR="00915367" w:rsidRPr="00B473E9">
        <w:rPr>
          <w:rFonts w:asciiTheme="majorHAnsi" w:hAnsiTheme="majorHAnsi" w:cstheme="majorHAnsi"/>
          <w:sz w:val="22"/>
          <w:szCs w:val="22"/>
        </w:rPr>
        <w:t>The shortest practicable route should be taken</w:t>
      </w:r>
      <w:r w:rsidR="00DD125F">
        <w:rPr>
          <w:rFonts w:asciiTheme="majorHAnsi" w:hAnsiTheme="majorHAnsi" w:cstheme="majorHAnsi"/>
          <w:sz w:val="22"/>
          <w:szCs w:val="22"/>
        </w:rPr>
        <w:t xml:space="preserve">. </w:t>
      </w:r>
      <w:r w:rsidR="00915367" w:rsidRPr="00B473E9">
        <w:rPr>
          <w:rFonts w:asciiTheme="majorHAnsi" w:hAnsiTheme="majorHAnsi" w:cstheme="majorHAnsi"/>
          <w:sz w:val="22"/>
          <w:szCs w:val="22"/>
        </w:rPr>
        <w:t xml:space="preserve"> Only mileage in excess of </w:t>
      </w:r>
      <w:r w:rsidR="00BE1270" w:rsidRPr="00B473E9">
        <w:rPr>
          <w:rFonts w:asciiTheme="majorHAnsi" w:hAnsiTheme="majorHAnsi" w:cstheme="majorHAnsi"/>
          <w:sz w:val="22"/>
          <w:szCs w:val="22"/>
        </w:rPr>
        <w:t>the</w:t>
      </w:r>
      <w:r w:rsidR="00915367" w:rsidRPr="00B473E9">
        <w:rPr>
          <w:rFonts w:asciiTheme="majorHAnsi" w:hAnsiTheme="majorHAnsi" w:cstheme="majorHAnsi"/>
          <w:sz w:val="22"/>
          <w:szCs w:val="22"/>
        </w:rPr>
        <w:t xml:space="preserve"> usual daily commute is eligible for</w:t>
      </w:r>
      <w:r w:rsidR="00941A53" w:rsidRPr="00B473E9">
        <w:rPr>
          <w:rFonts w:asciiTheme="majorHAnsi" w:hAnsiTheme="majorHAnsi" w:cstheme="majorHAnsi"/>
          <w:sz w:val="22"/>
          <w:szCs w:val="22"/>
        </w:rPr>
        <w:t xml:space="preserve"> </w:t>
      </w:r>
      <w:r w:rsidR="00915367" w:rsidRPr="00B473E9">
        <w:rPr>
          <w:rFonts w:asciiTheme="majorHAnsi" w:hAnsiTheme="majorHAnsi" w:cstheme="majorHAnsi"/>
          <w:sz w:val="22"/>
          <w:szCs w:val="22"/>
        </w:rPr>
        <w:t>reimbursement.</w:t>
      </w:r>
    </w:p>
    <w:p w14:paraId="0469048E" w14:textId="77777777" w:rsidR="009A71F1" w:rsidRPr="00B473E9" w:rsidRDefault="009A71F1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  <w:u w:val="single"/>
        </w:rPr>
      </w:pPr>
    </w:p>
    <w:p w14:paraId="3F6684DD" w14:textId="1869854C" w:rsidR="00B62DA2" w:rsidRPr="00B473E9" w:rsidRDefault="00915367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  <w:u w:val="single"/>
        </w:rPr>
        <w:t>By Rail</w:t>
      </w:r>
      <w:r w:rsidRPr="00B473E9">
        <w:rPr>
          <w:rFonts w:asciiTheme="majorHAnsi" w:hAnsiTheme="majorHAnsi" w:cstheme="majorHAnsi"/>
          <w:sz w:val="22"/>
          <w:szCs w:val="22"/>
        </w:rPr>
        <w:t xml:space="preserve">: Supersavers and standard class rail fares only. </w:t>
      </w:r>
      <w:r w:rsidR="0002553C" w:rsidRPr="00B473E9">
        <w:rPr>
          <w:rFonts w:asciiTheme="majorHAnsi" w:hAnsiTheme="majorHAnsi" w:cstheme="majorHAnsi"/>
          <w:sz w:val="22"/>
          <w:szCs w:val="22"/>
        </w:rPr>
        <w:t>T</w:t>
      </w:r>
      <w:r w:rsidRPr="00B473E9">
        <w:rPr>
          <w:rFonts w:asciiTheme="majorHAnsi" w:hAnsiTheme="majorHAnsi" w:cstheme="majorHAnsi"/>
          <w:sz w:val="22"/>
          <w:szCs w:val="22"/>
        </w:rPr>
        <w:t>ickets</w:t>
      </w:r>
      <w:r w:rsidR="0002553C" w:rsidRPr="00B473E9">
        <w:rPr>
          <w:rFonts w:asciiTheme="majorHAnsi" w:hAnsiTheme="majorHAnsi" w:cstheme="majorHAnsi"/>
          <w:sz w:val="22"/>
          <w:szCs w:val="22"/>
        </w:rPr>
        <w:t xml:space="preserve"> should be purchased</w:t>
      </w:r>
      <w:r w:rsidRPr="00B473E9">
        <w:rPr>
          <w:rFonts w:asciiTheme="majorHAnsi" w:hAnsiTheme="majorHAnsi" w:cstheme="majorHAnsi"/>
          <w:sz w:val="22"/>
          <w:szCs w:val="22"/>
        </w:rPr>
        <w:t xml:space="preserve"> in advance.</w:t>
      </w:r>
      <w:r w:rsidR="00277C22" w:rsidRPr="00B473E9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3F20BF7" w14:textId="36C89B05" w:rsidR="00D547A9" w:rsidRPr="00B473E9" w:rsidRDefault="00CC0672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Copies of train tickets</w:t>
      </w:r>
      <w:r w:rsidR="00915367" w:rsidRPr="00B473E9">
        <w:rPr>
          <w:rFonts w:asciiTheme="majorHAnsi" w:hAnsiTheme="majorHAnsi" w:cstheme="majorHAnsi"/>
          <w:sz w:val="22"/>
          <w:szCs w:val="22"/>
        </w:rPr>
        <w:t xml:space="preserve"> must</w:t>
      </w:r>
      <w:r>
        <w:rPr>
          <w:rFonts w:asciiTheme="majorHAnsi" w:hAnsiTheme="majorHAnsi" w:cstheme="majorHAnsi"/>
          <w:sz w:val="22"/>
          <w:szCs w:val="22"/>
        </w:rPr>
        <w:t xml:space="preserve"> be uploaded</w:t>
      </w:r>
      <w:r w:rsidR="00537728">
        <w:rPr>
          <w:rFonts w:asciiTheme="majorHAnsi" w:hAnsiTheme="majorHAnsi" w:cstheme="majorHAnsi"/>
          <w:sz w:val="22"/>
          <w:szCs w:val="22"/>
        </w:rPr>
        <w:t xml:space="preserve"> to Accent</w:t>
      </w:r>
      <w:r w:rsidR="000743A5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F5A30F6" w14:textId="6799D7A0" w:rsidR="00915367" w:rsidRPr="00B473E9" w:rsidRDefault="00915367" w:rsidP="00EF4DB6">
      <w:pPr>
        <w:kinsoku w:val="0"/>
        <w:overflowPunct w:val="0"/>
        <w:spacing w:before="6" w:line="288" w:lineRule="exact"/>
        <w:ind w:left="1440" w:right="504" w:hanging="1368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</w:rPr>
        <w:t> </w:t>
      </w:r>
    </w:p>
    <w:p w14:paraId="5C0EF948" w14:textId="77777777" w:rsidR="00D547A9" w:rsidRPr="00B473E9" w:rsidRDefault="00915367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  <w:u w:val="single"/>
        </w:rPr>
        <w:t>By Taxi</w:t>
      </w:r>
      <w:r w:rsidRPr="00B473E9">
        <w:rPr>
          <w:rFonts w:asciiTheme="majorHAnsi" w:hAnsiTheme="majorHAnsi" w:cstheme="majorHAnsi"/>
          <w:sz w:val="22"/>
          <w:szCs w:val="22"/>
        </w:rPr>
        <w:t>: Expenses will be reimbursed for short journeys only such as from the nearest train</w:t>
      </w:r>
    </w:p>
    <w:p w14:paraId="504ED8C1" w14:textId="77777777" w:rsidR="00D547A9" w:rsidRPr="00B473E9" w:rsidRDefault="00915367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</w:rPr>
        <w:t>station to the venue where public transport is not practical, e.g. time of day. A receipt will be</w:t>
      </w:r>
    </w:p>
    <w:p w14:paraId="0215348C" w14:textId="7BDE4345" w:rsidR="00915367" w:rsidRPr="00B473E9" w:rsidRDefault="00915367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</w:rPr>
        <w:t>required.  </w:t>
      </w:r>
    </w:p>
    <w:p w14:paraId="3DA3B3C4" w14:textId="77777777" w:rsidR="00D547A9" w:rsidRPr="00B473E9" w:rsidRDefault="00D547A9">
      <w:pPr>
        <w:kinsoku w:val="0"/>
        <w:overflowPunct w:val="0"/>
        <w:spacing w:before="6" w:line="288" w:lineRule="exact"/>
        <w:ind w:left="1440" w:right="504" w:hanging="1368"/>
        <w:jc w:val="center"/>
        <w:textAlignment w:val="baseline"/>
        <w:rPr>
          <w:rStyle w:val="Strong"/>
          <w:rFonts w:ascii="Arial" w:hAnsi="Arial" w:cs="Arial"/>
          <w:color w:val="212B32"/>
          <w:sz w:val="29"/>
          <w:szCs w:val="29"/>
          <w:shd w:val="clear" w:color="auto" w:fill="F0F4F5"/>
        </w:rPr>
      </w:pPr>
    </w:p>
    <w:p w14:paraId="66C7744D" w14:textId="6A244F43" w:rsidR="00915367" w:rsidRDefault="006416EE" w:rsidP="0084089D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  <w:r w:rsidRPr="00B473E9">
        <w:rPr>
          <w:rFonts w:asciiTheme="majorHAnsi" w:hAnsiTheme="majorHAnsi" w:cstheme="majorHAnsi"/>
          <w:sz w:val="22"/>
          <w:szCs w:val="22"/>
          <w:u w:val="single"/>
        </w:rPr>
        <w:t>By Air</w:t>
      </w:r>
      <w:r w:rsidRPr="00B473E9">
        <w:rPr>
          <w:rFonts w:asciiTheme="majorHAnsi" w:hAnsiTheme="majorHAnsi" w:cstheme="majorHAnsi"/>
          <w:sz w:val="22"/>
          <w:szCs w:val="22"/>
        </w:rPr>
        <w:t>: </w:t>
      </w:r>
      <w:r w:rsidR="004D76A1">
        <w:rPr>
          <w:rFonts w:asciiTheme="majorHAnsi" w:hAnsiTheme="majorHAnsi" w:cstheme="majorHAnsi"/>
          <w:sz w:val="22"/>
          <w:szCs w:val="22"/>
        </w:rPr>
        <w:t xml:space="preserve">Only </w:t>
      </w:r>
      <w:r w:rsidR="00402F80">
        <w:rPr>
          <w:rFonts w:asciiTheme="majorHAnsi" w:hAnsiTheme="majorHAnsi" w:cstheme="majorHAnsi"/>
          <w:sz w:val="22"/>
          <w:szCs w:val="22"/>
        </w:rPr>
        <w:t>flight fee</w:t>
      </w:r>
      <w:r w:rsidR="000701F0">
        <w:rPr>
          <w:rFonts w:asciiTheme="majorHAnsi" w:hAnsiTheme="majorHAnsi" w:cstheme="majorHAnsi"/>
          <w:sz w:val="22"/>
          <w:szCs w:val="22"/>
        </w:rPr>
        <w:t xml:space="preserve"> will be reimbursed</w:t>
      </w:r>
      <w:r w:rsidR="0084089D">
        <w:rPr>
          <w:rFonts w:asciiTheme="majorHAnsi" w:hAnsiTheme="majorHAnsi" w:cstheme="majorHAnsi"/>
          <w:sz w:val="22"/>
          <w:szCs w:val="22"/>
        </w:rPr>
        <w:t xml:space="preserve"> (parking charges, excess baggage fee, subsistence will not be reimbursed).</w:t>
      </w:r>
    </w:p>
    <w:p w14:paraId="17EB8C08" w14:textId="77777777" w:rsidR="000965DE" w:rsidRDefault="000965DE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25842E24" w14:textId="6EE35BA6" w:rsidR="000965DE" w:rsidRDefault="000965DE" w:rsidP="009A71F1">
      <w:pPr>
        <w:kinsoku w:val="0"/>
        <w:overflowPunct w:val="0"/>
        <w:spacing w:before="6" w:line="288" w:lineRule="exact"/>
        <w:ind w:right="504"/>
        <w:textAlignment w:val="baseline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0965DE">
        <w:rPr>
          <w:rFonts w:asciiTheme="majorHAnsi" w:hAnsiTheme="majorHAnsi" w:cstheme="majorHAnsi"/>
          <w:b/>
          <w:bCs/>
          <w:sz w:val="22"/>
          <w:szCs w:val="22"/>
          <w:u w:val="single"/>
        </w:rPr>
        <w:t>Study Leave Categories</w:t>
      </w:r>
    </w:p>
    <w:p w14:paraId="6EA23333" w14:textId="77777777" w:rsidR="00104A5B" w:rsidRDefault="00104A5B" w:rsidP="00104A5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50684802" w14:textId="13A71620" w:rsidR="00104A5B" w:rsidRPr="00104A5B" w:rsidRDefault="00104A5B" w:rsidP="00104A5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104A5B">
        <w:rPr>
          <w:rFonts w:asciiTheme="majorHAnsi" w:hAnsiTheme="majorHAnsi" w:cstheme="majorHAnsi"/>
          <w:b/>
          <w:bCs/>
          <w:sz w:val="22"/>
          <w:szCs w:val="22"/>
        </w:rPr>
        <w:t>Essential activities</w:t>
      </w:r>
      <w:r w:rsidRPr="00104A5B">
        <w:rPr>
          <w:rFonts w:asciiTheme="majorHAnsi" w:hAnsiTheme="majorHAnsi" w:cstheme="majorHAnsi"/>
          <w:sz w:val="22"/>
          <w:szCs w:val="22"/>
        </w:rPr>
        <w:t xml:space="preserve"> are described as mandatory in curriculum documents by the relevant Royal College or Faculty and should assist Educational Supervisors to ensure that </w:t>
      </w:r>
      <w:r w:rsidR="00C73706">
        <w:rPr>
          <w:rFonts w:asciiTheme="majorHAnsi" w:hAnsiTheme="majorHAnsi" w:cstheme="majorHAnsi"/>
          <w:sz w:val="22"/>
          <w:szCs w:val="22"/>
        </w:rPr>
        <w:t>Dentists in training</w:t>
      </w:r>
      <w:r w:rsidRPr="00104A5B">
        <w:rPr>
          <w:rFonts w:asciiTheme="majorHAnsi" w:hAnsiTheme="majorHAnsi" w:cstheme="majorHAnsi"/>
          <w:sz w:val="22"/>
          <w:szCs w:val="22"/>
        </w:rPr>
        <w:t xml:space="preserve"> </w:t>
      </w:r>
      <w:r w:rsidR="00C73706">
        <w:rPr>
          <w:rFonts w:asciiTheme="majorHAnsi" w:hAnsiTheme="majorHAnsi" w:cstheme="majorHAnsi"/>
          <w:sz w:val="22"/>
          <w:szCs w:val="22"/>
        </w:rPr>
        <w:t>are</w:t>
      </w:r>
      <w:r w:rsidRPr="00104A5B">
        <w:rPr>
          <w:rFonts w:asciiTheme="majorHAnsi" w:hAnsiTheme="majorHAnsi" w:cstheme="majorHAnsi"/>
          <w:sz w:val="22"/>
          <w:szCs w:val="22"/>
        </w:rPr>
        <w:t xml:space="preserve"> meeting the requirements mandated by the curriculum</w:t>
      </w:r>
      <w:r w:rsidR="000400A3">
        <w:rPr>
          <w:rFonts w:asciiTheme="majorHAnsi" w:hAnsiTheme="majorHAnsi" w:cstheme="majorHAnsi"/>
          <w:sz w:val="22"/>
          <w:szCs w:val="22"/>
        </w:rPr>
        <w:t>.</w:t>
      </w:r>
    </w:p>
    <w:p w14:paraId="29F92E2A" w14:textId="77777777" w:rsidR="00104A5B" w:rsidRDefault="00104A5B" w:rsidP="00104A5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4B9F4BDE" w14:textId="456DF296" w:rsidR="00104A5B" w:rsidRPr="00104A5B" w:rsidRDefault="00104A5B" w:rsidP="00104A5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104A5B">
        <w:rPr>
          <w:rFonts w:asciiTheme="majorHAnsi" w:hAnsiTheme="majorHAnsi" w:cstheme="majorHAnsi"/>
          <w:b/>
          <w:bCs/>
          <w:sz w:val="22"/>
          <w:szCs w:val="22"/>
        </w:rPr>
        <w:t>Supporting activities</w:t>
      </w:r>
      <w:r w:rsidRPr="00104A5B">
        <w:rPr>
          <w:rFonts w:asciiTheme="majorHAnsi" w:hAnsiTheme="majorHAnsi" w:cstheme="majorHAnsi"/>
          <w:sz w:val="22"/>
          <w:szCs w:val="22"/>
        </w:rPr>
        <w:t xml:space="preserve"> are not mandated in the curriculum, but support the curriculum, with the </w:t>
      </w:r>
      <w:r w:rsidR="004B7436">
        <w:rPr>
          <w:rFonts w:asciiTheme="majorHAnsi" w:hAnsiTheme="majorHAnsi" w:cstheme="majorHAnsi"/>
          <w:sz w:val="22"/>
          <w:szCs w:val="22"/>
        </w:rPr>
        <w:t>Associate</w:t>
      </w:r>
      <w:r w:rsidR="00EF2B2D">
        <w:rPr>
          <w:rFonts w:asciiTheme="majorHAnsi" w:hAnsiTheme="majorHAnsi" w:cstheme="majorHAnsi"/>
          <w:sz w:val="22"/>
          <w:szCs w:val="22"/>
        </w:rPr>
        <w:t xml:space="preserve"> Postgraduate</w:t>
      </w:r>
      <w:r w:rsidR="004B7436">
        <w:rPr>
          <w:rFonts w:asciiTheme="majorHAnsi" w:hAnsiTheme="majorHAnsi" w:cstheme="majorHAnsi"/>
          <w:sz w:val="22"/>
          <w:szCs w:val="22"/>
        </w:rPr>
        <w:t xml:space="preserve"> Dental Dean </w:t>
      </w:r>
      <w:r w:rsidRPr="00104A5B">
        <w:rPr>
          <w:rFonts w:asciiTheme="majorHAnsi" w:hAnsiTheme="majorHAnsi" w:cstheme="majorHAnsi"/>
          <w:sz w:val="22"/>
          <w:szCs w:val="22"/>
        </w:rPr>
        <w:t xml:space="preserve">or Training Programme Director determining that attendance is of benefit to the </w:t>
      </w:r>
      <w:r w:rsidR="004B7436">
        <w:rPr>
          <w:rFonts w:asciiTheme="majorHAnsi" w:hAnsiTheme="majorHAnsi" w:cstheme="majorHAnsi"/>
          <w:sz w:val="22"/>
          <w:szCs w:val="22"/>
        </w:rPr>
        <w:t>Dent</w:t>
      </w:r>
      <w:r w:rsidR="00E02976">
        <w:rPr>
          <w:rFonts w:asciiTheme="majorHAnsi" w:hAnsiTheme="majorHAnsi" w:cstheme="majorHAnsi"/>
          <w:sz w:val="22"/>
          <w:szCs w:val="22"/>
        </w:rPr>
        <w:t>ist in training</w:t>
      </w:r>
      <w:r w:rsidRPr="00104A5B">
        <w:rPr>
          <w:rFonts w:asciiTheme="majorHAnsi" w:hAnsiTheme="majorHAnsi" w:cstheme="majorHAnsi"/>
          <w:sz w:val="22"/>
          <w:szCs w:val="22"/>
        </w:rPr>
        <w:t>. The</w:t>
      </w:r>
      <w:r w:rsidR="00C35680">
        <w:rPr>
          <w:rFonts w:asciiTheme="majorHAnsi" w:hAnsiTheme="majorHAnsi" w:cstheme="majorHAnsi"/>
          <w:sz w:val="22"/>
          <w:szCs w:val="22"/>
        </w:rPr>
        <w:t xml:space="preserve"> study leave matrix</w:t>
      </w:r>
      <w:r w:rsidRPr="00104A5B">
        <w:rPr>
          <w:rFonts w:asciiTheme="majorHAnsi" w:hAnsiTheme="majorHAnsi" w:cstheme="majorHAnsi"/>
          <w:sz w:val="22"/>
          <w:szCs w:val="22"/>
        </w:rPr>
        <w:t xml:space="preserve"> should act as a guide for the </w:t>
      </w:r>
      <w:r w:rsidR="00383994">
        <w:rPr>
          <w:rFonts w:asciiTheme="majorHAnsi" w:hAnsiTheme="majorHAnsi" w:cstheme="majorHAnsi"/>
          <w:sz w:val="22"/>
          <w:szCs w:val="22"/>
        </w:rPr>
        <w:t>trainee</w:t>
      </w:r>
      <w:r w:rsidRPr="00104A5B">
        <w:rPr>
          <w:rFonts w:asciiTheme="majorHAnsi" w:hAnsiTheme="majorHAnsi" w:cstheme="majorHAnsi"/>
          <w:sz w:val="22"/>
          <w:szCs w:val="22"/>
        </w:rPr>
        <w:t xml:space="preserve"> and Educational Supervisor to plan and schedule attendance at some of these events across the entire duration of training.</w:t>
      </w:r>
    </w:p>
    <w:p w14:paraId="04F04D56" w14:textId="77777777" w:rsidR="00104A5B" w:rsidRDefault="00104A5B" w:rsidP="00104A5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392E6701" w14:textId="6C2663C8" w:rsidR="00104A5B" w:rsidRPr="00104A5B" w:rsidRDefault="00104A5B" w:rsidP="00104A5B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104A5B">
        <w:rPr>
          <w:rFonts w:asciiTheme="majorHAnsi" w:hAnsiTheme="majorHAnsi" w:cstheme="majorHAnsi"/>
          <w:b/>
          <w:bCs/>
          <w:sz w:val="22"/>
          <w:szCs w:val="22"/>
        </w:rPr>
        <w:t>Discretionary/Aspirational activities</w:t>
      </w:r>
      <w:r w:rsidRPr="00104A5B">
        <w:rPr>
          <w:rFonts w:asciiTheme="majorHAnsi" w:hAnsiTheme="majorHAnsi" w:cstheme="majorHAnsi"/>
          <w:sz w:val="22"/>
          <w:szCs w:val="22"/>
        </w:rPr>
        <w:t xml:space="preserve"> enhance the knowledge, skills and attitudes of the </w:t>
      </w:r>
      <w:r w:rsidR="00C35680">
        <w:rPr>
          <w:rFonts w:asciiTheme="majorHAnsi" w:hAnsiTheme="majorHAnsi" w:cstheme="majorHAnsi"/>
          <w:sz w:val="22"/>
          <w:szCs w:val="22"/>
        </w:rPr>
        <w:t xml:space="preserve">dentists in training </w:t>
      </w:r>
      <w:r w:rsidRPr="00104A5B">
        <w:rPr>
          <w:rFonts w:asciiTheme="majorHAnsi" w:hAnsiTheme="majorHAnsi" w:cstheme="majorHAnsi"/>
          <w:sz w:val="22"/>
          <w:szCs w:val="22"/>
        </w:rPr>
        <w:t>, or enhance any aspect of patient care, but are not mapped to any direct curriculum requirements. </w:t>
      </w:r>
    </w:p>
    <w:p w14:paraId="390D59AD" w14:textId="77777777" w:rsidR="000B6BA8" w:rsidRDefault="000B6BA8" w:rsidP="000B6BA8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</w:p>
    <w:p w14:paraId="5C72C522" w14:textId="332B0146" w:rsidR="00104A5B" w:rsidRPr="00104A5B" w:rsidRDefault="00104A5B" w:rsidP="000B6BA8">
      <w:pPr>
        <w:shd w:val="clear" w:color="auto" w:fill="FFFFFF" w:themeFill="background1"/>
        <w:rPr>
          <w:rFonts w:asciiTheme="majorHAnsi" w:hAnsiTheme="majorHAnsi" w:cstheme="majorHAnsi"/>
          <w:sz w:val="22"/>
          <w:szCs w:val="22"/>
        </w:rPr>
      </w:pPr>
      <w:r w:rsidRPr="00104A5B">
        <w:rPr>
          <w:rFonts w:asciiTheme="majorHAnsi" w:hAnsiTheme="majorHAnsi" w:cstheme="majorHAnsi"/>
          <w:b/>
          <w:bCs/>
          <w:sz w:val="22"/>
          <w:szCs w:val="22"/>
        </w:rPr>
        <w:t>Essential or Supporting</w:t>
      </w:r>
      <w:r w:rsidR="006F4D0F">
        <w:rPr>
          <w:rFonts w:asciiTheme="majorHAnsi" w:hAnsiTheme="majorHAnsi" w:cstheme="majorHAnsi"/>
          <w:b/>
          <w:bCs/>
          <w:sz w:val="22"/>
          <w:szCs w:val="22"/>
        </w:rPr>
        <w:t xml:space="preserve"> activities</w:t>
      </w:r>
      <w:r w:rsidRPr="00104A5B">
        <w:rPr>
          <w:rFonts w:asciiTheme="majorHAnsi" w:hAnsiTheme="majorHAnsi" w:cstheme="majorHAnsi"/>
          <w:b/>
          <w:bCs/>
          <w:sz w:val="22"/>
          <w:szCs w:val="22"/>
        </w:rPr>
        <w:t> will take priority</w:t>
      </w:r>
      <w:r w:rsidR="00383994">
        <w:rPr>
          <w:rFonts w:asciiTheme="majorHAnsi" w:hAnsiTheme="majorHAnsi" w:cstheme="majorHAnsi"/>
          <w:sz w:val="22"/>
          <w:szCs w:val="22"/>
        </w:rPr>
        <w:t xml:space="preserve"> over</w:t>
      </w:r>
      <w:r w:rsidR="000B6BA8">
        <w:rPr>
          <w:rFonts w:asciiTheme="majorHAnsi" w:hAnsiTheme="majorHAnsi" w:cstheme="majorHAnsi"/>
          <w:sz w:val="22"/>
          <w:szCs w:val="22"/>
        </w:rPr>
        <w:t xml:space="preserve"> </w:t>
      </w:r>
      <w:r w:rsidRPr="00104A5B">
        <w:rPr>
          <w:rFonts w:asciiTheme="majorHAnsi" w:hAnsiTheme="majorHAnsi" w:cstheme="majorHAnsi"/>
          <w:sz w:val="22"/>
          <w:szCs w:val="22"/>
        </w:rPr>
        <w:t>Discretionary/Aspirational activities, especially as national and local Study Leave budgets are finite.</w:t>
      </w:r>
      <w:r w:rsidR="00383994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18D47E83" w14:textId="77777777" w:rsidR="00843433" w:rsidRPr="004B6FAF" w:rsidRDefault="00843433" w:rsidP="004B6FAF">
      <w:pPr>
        <w:rPr>
          <w:rFonts w:cstheme="minorHAnsi"/>
          <w:spacing w:val="1"/>
          <w:sz w:val="20"/>
          <w:szCs w:val="20"/>
        </w:rPr>
      </w:pPr>
    </w:p>
    <w:p w14:paraId="18D47EF4" w14:textId="7E32B2C5" w:rsidR="00843433" w:rsidRDefault="00843433" w:rsidP="00917F9F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18D47EF5" w14:textId="46D5B595" w:rsidR="00843433" w:rsidRDefault="007E579B" w:rsidP="004B6FAF">
      <w:pPr>
        <w:ind w:left="1440" w:hanging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  <w:r>
        <w:rPr>
          <w:rFonts w:ascii="Arial" w:eastAsiaTheme="minorHAnsi" w:hAnsi="Arial" w:cs="Arial"/>
          <w:b/>
          <w:bCs/>
          <w:spacing w:val="0"/>
          <w:sz w:val="22"/>
          <w:szCs w:val="22"/>
        </w:rPr>
        <w:t xml:space="preserve">Thames Valley &amp; Wessex dental trainees apply for study leave via </w:t>
      </w:r>
      <w:hyperlink r:id="rId11" w:history="1">
        <w:r w:rsidRPr="00E20263">
          <w:rPr>
            <w:rStyle w:val="Hyperlink"/>
            <w:rFonts w:ascii="Arial" w:eastAsiaTheme="minorHAnsi" w:hAnsi="Arial" w:cs="Arial"/>
            <w:b/>
            <w:bCs/>
            <w:spacing w:val="0"/>
            <w:sz w:val="22"/>
            <w:szCs w:val="22"/>
          </w:rPr>
          <w:t>Accent</w:t>
        </w:r>
      </w:hyperlink>
    </w:p>
    <w:p w14:paraId="1DC8E0A4" w14:textId="0C4B5638" w:rsidR="00E20263" w:rsidRDefault="00DD3B20" w:rsidP="004B6FAF">
      <w:pPr>
        <w:ind w:left="1440" w:hanging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  <w:r>
        <w:rPr>
          <w:rFonts w:ascii="Arial" w:eastAsiaTheme="minorHAnsi" w:hAnsi="Arial" w:cs="Arial"/>
          <w:b/>
          <w:bCs/>
          <w:noProof/>
          <w:spacing w:val="0"/>
          <w:sz w:val="22"/>
          <w:szCs w:val="22"/>
        </w:rPr>
        <w:drawing>
          <wp:inline distT="0" distB="0" distL="0" distR="0" wp14:anchorId="41376A46" wp14:editId="751993D3">
            <wp:extent cx="4434840" cy="4053840"/>
            <wp:effectExtent l="0" t="0" r="3810" b="3810"/>
            <wp:docPr id="1260274836" name="Picture 1" descr="A screenshot of a login box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274836" name="Picture 1" descr="A screenshot of a login box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35225" cy="405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D99D33" w14:textId="35EFAD3C" w:rsidR="007E579B" w:rsidRPr="004B6FAF" w:rsidRDefault="007E579B" w:rsidP="004B6FAF">
      <w:pPr>
        <w:ind w:left="1440" w:hanging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2E8EE0EC" w14:textId="7BFB5F4B" w:rsidR="00B2282D" w:rsidRPr="004164F6" w:rsidRDefault="00B2282D" w:rsidP="002243DC">
      <w:pPr>
        <w:ind w:left="1440" w:hanging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b/>
          <w:bCs/>
          <w:spacing w:val="0"/>
          <w:sz w:val="22"/>
          <w:szCs w:val="22"/>
        </w:rPr>
        <w:t>Study Leave Application and Estimated Expenses</w:t>
      </w:r>
    </w:p>
    <w:p w14:paraId="6690B032" w14:textId="2EF2AACA" w:rsidR="00A153CF" w:rsidRPr="004164F6" w:rsidRDefault="003E7041" w:rsidP="002243DC">
      <w:pPr>
        <w:ind w:left="1440" w:hanging="720"/>
        <w:rPr>
          <w:rFonts w:ascii="Arial" w:eastAsiaTheme="minorHAnsi" w:hAnsi="Arial" w:cs="Arial"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spacing w:val="0"/>
          <w:sz w:val="22"/>
          <w:szCs w:val="22"/>
        </w:rPr>
        <w:t>Submitted study leave application and estimated expenses will be approved or</w:t>
      </w:r>
    </w:p>
    <w:p w14:paraId="1DA1E3DE" w14:textId="03431514" w:rsidR="00B2282D" w:rsidRPr="004164F6" w:rsidRDefault="002243DC" w:rsidP="00EA134F">
      <w:pPr>
        <w:ind w:left="1440" w:hanging="720"/>
        <w:rPr>
          <w:rFonts w:ascii="Arial" w:eastAsiaTheme="minorHAnsi" w:hAnsi="Arial" w:cs="Arial"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spacing w:val="0"/>
          <w:sz w:val="22"/>
          <w:szCs w:val="22"/>
        </w:rPr>
        <w:t>rejected by the NHSE Staff.</w:t>
      </w:r>
    </w:p>
    <w:p w14:paraId="5A60EEC3" w14:textId="77777777" w:rsidR="00B2282D" w:rsidRPr="004164F6" w:rsidRDefault="00B2282D" w:rsidP="002243DC">
      <w:pPr>
        <w:ind w:left="1440" w:hanging="720"/>
        <w:rPr>
          <w:rFonts w:ascii="Arial" w:eastAsiaTheme="minorHAnsi" w:hAnsi="Arial" w:cs="Arial"/>
          <w:spacing w:val="0"/>
          <w:sz w:val="22"/>
          <w:szCs w:val="22"/>
        </w:rPr>
      </w:pPr>
    </w:p>
    <w:p w14:paraId="760CF05A" w14:textId="23C62C8A" w:rsidR="00B2282D" w:rsidRPr="004164F6" w:rsidRDefault="00B622FB" w:rsidP="002243DC">
      <w:pPr>
        <w:ind w:left="1440" w:hanging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b/>
          <w:bCs/>
          <w:spacing w:val="0"/>
          <w:sz w:val="22"/>
          <w:szCs w:val="22"/>
        </w:rPr>
        <w:t>Actual Expenses</w:t>
      </w:r>
    </w:p>
    <w:p w14:paraId="696D97FE" w14:textId="5ACFA924" w:rsidR="00B2282D" w:rsidRPr="004164F6" w:rsidRDefault="00B2282D" w:rsidP="00B2282D">
      <w:pPr>
        <w:ind w:left="720"/>
        <w:rPr>
          <w:rFonts w:ascii="Arial" w:eastAsiaTheme="minorHAnsi" w:hAnsi="Arial" w:cs="Arial"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spacing w:val="0"/>
          <w:sz w:val="22"/>
          <w:szCs w:val="22"/>
        </w:rPr>
        <w:t xml:space="preserve">Following the approval of study leave application and estimated expenses, </w:t>
      </w:r>
      <w:r w:rsidR="002C088A">
        <w:rPr>
          <w:rFonts w:ascii="Arial" w:eastAsiaTheme="minorHAnsi" w:hAnsi="Arial" w:cs="Arial"/>
          <w:spacing w:val="0"/>
          <w:sz w:val="22"/>
          <w:szCs w:val="22"/>
        </w:rPr>
        <w:t>t</w:t>
      </w:r>
      <w:r w:rsidRPr="004164F6">
        <w:rPr>
          <w:rFonts w:ascii="Arial" w:eastAsiaTheme="minorHAnsi" w:hAnsi="Arial" w:cs="Arial"/>
          <w:spacing w:val="0"/>
          <w:sz w:val="22"/>
          <w:szCs w:val="22"/>
        </w:rPr>
        <w:t xml:space="preserve">rainee needs to log in to Accent after the course has taken place and submit the </w:t>
      </w:r>
      <w:r w:rsidRPr="000366F2">
        <w:rPr>
          <w:rFonts w:ascii="Arial" w:eastAsiaTheme="minorHAnsi" w:hAnsi="Arial" w:cs="Arial"/>
          <w:b/>
          <w:bCs/>
          <w:spacing w:val="0"/>
          <w:sz w:val="22"/>
          <w:szCs w:val="22"/>
        </w:rPr>
        <w:t>actual expenses and receipts</w:t>
      </w:r>
      <w:r w:rsidRPr="004164F6">
        <w:rPr>
          <w:rFonts w:ascii="Arial" w:eastAsiaTheme="minorHAnsi" w:hAnsi="Arial" w:cs="Arial"/>
          <w:spacing w:val="0"/>
          <w:sz w:val="22"/>
          <w:szCs w:val="22"/>
        </w:rPr>
        <w:t xml:space="preserve"> within 1 week of the course taking place. </w:t>
      </w:r>
    </w:p>
    <w:p w14:paraId="1C0F88A3" w14:textId="77777777" w:rsidR="00C86F1B" w:rsidRPr="004164F6" w:rsidRDefault="00C86F1B" w:rsidP="00B2282D">
      <w:pPr>
        <w:ind w:left="720"/>
        <w:rPr>
          <w:rFonts w:ascii="Arial" w:eastAsiaTheme="minorHAnsi" w:hAnsi="Arial" w:cs="Arial"/>
          <w:spacing w:val="0"/>
          <w:sz w:val="22"/>
          <w:szCs w:val="22"/>
        </w:rPr>
      </w:pPr>
    </w:p>
    <w:p w14:paraId="75423A56" w14:textId="0EFB9FF1" w:rsidR="00C86F1B" w:rsidRPr="004164F6" w:rsidRDefault="00C86F1B" w:rsidP="00B2282D">
      <w:pPr>
        <w:ind w:left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b/>
          <w:bCs/>
          <w:spacing w:val="0"/>
          <w:sz w:val="22"/>
          <w:szCs w:val="22"/>
        </w:rPr>
        <w:t xml:space="preserve">Reimbursement via </w:t>
      </w:r>
      <w:r w:rsidR="00FE5CE2" w:rsidRPr="004164F6">
        <w:rPr>
          <w:rFonts w:ascii="Arial" w:eastAsiaTheme="minorHAnsi" w:hAnsi="Arial" w:cs="Arial"/>
          <w:b/>
          <w:bCs/>
          <w:spacing w:val="0"/>
          <w:sz w:val="22"/>
          <w:szCs w:val="22"/>
        </w:rPr>
        <w:t>S</w:t>
      </w:r>
      <w:r w:rsidRPr="004164F6">
        <w:rPr>
          <w:rFonts w:ascii="Arial" w:eastAsiaTheme="minorHAnsi" w:hAnsi="Arial" w:cs="Arial"/>
          <w:b/>
          <w:bCs/>
          <w:spacing w:val="0"/>
          <w:sz w:val="22"/>
          <w:szCs w:val="22"/>
        </w:rPr>
        <w:t>alary</w:t>
      </w:r>
      <w:r w:rsidR="00EA134F" w:rsidRPr="004164F6">
        <w:rPr>
          <w:rFonts w:ascii="Arial" w:eastAsiaTheme="minorHAnsi" w:hAnsi="Arial" w:cs="Arial"/>
          <w:b/>
          <w:bCs/>
          <w:spacing w:val="0"/>
          <w:sz w:val="22"/>
          <w:szCs w:val="22"/>
        </w:rPr>
        <w:t xml:space="preserve"> (BACS)</w:t>
      </w:r>
    </w:p>
    <w:p w14:paraId="1F258E97" w14:textId="1BA93BCF" w:rsidR="00C86F1B" w:rsidRPr="004164F6" w:rsidRDefault="009877C4" w:rsidP="00B2282D">
      <w:pPr>
        <w:ind w:left="720"/>
        <w:rPr>
          <w:rFonts w:ascii="Arial" w:eastAsiaTheme="minorHAnsi" w:hAnsi="Arial" w:cs="Arial"/>
          <w:spacing w:val="0"/>
          <w:sz w:val="22"/>
          <w:szCs w:val="22"/>
        </w:rPr>
      </w:pPr>
      <w:r w:rsidRPr="004164F6">
        <w:rPr>
          <w:rFonts w:ascii="Arial" w:eastAsiaTheme="minorHAnsi" w:hAnsi="Arial" w:cs="Arial"/>
          <w:spacing w:val="0"/>
          <w:sz w:val="22"/>
          <w:szCs w:val="22"/>
        </w:rPr>
        <w:t xml:space="preserve">Only </w:t>
      </w:r>
      <w:r w:rsidR="000A4FC2" w:rsidRPr="004164F6">
        <w:rPr>
          <w:rFonts w:ascii="Arial" w:eastAsiaTheme="minorHAnsi" w:hAnsi="Arial" w:cs="Arial"/>
          <w:spacing w:val="0"/>
          <w:sz w:val="22"/>
          <w:szCs w:val="22"/>
        </w:rPr>
        <w:t>Accent-</w:t>
      </w:r>
      <w:r w:rsidRPr="004164F6">
        <w:rPr>
          <w:rFonts w:ascii="Arial" w:eastAsiaTheme="minorHAnsi" w:hAnsi="Arial" w:cs="Arial"/>
          <w:spacing w:val="0"/>
          <w:sz w:val="22"/>
          <w:szCs w:val="22"/>
        </w:rPr>
        <w:t>approved study leave applications entitle trainees to claim</w:t>
      </w:r>
      <w:r w:rsidR="00EE44AD" w:rsidRPr="004164F6">
        <w:rPr>
          <w:rFonts w:ascii="Arial" w:eastAsiaTheme="minorHAnsi" w:hAnsi="Arial" w:cs="Arial"/>
          <w:spacing w:val="0"/>
          <w:sz w:val="22"/>
          <w:szCs w:val="22"/>
        </w:rPr>
        <w:t xml:space="preserve"> reimbursement via Trust payment system. </w:t>
      </w:r>
    </w:p>
    <w:p w14:paraId="199670E9" w14:textId="77777777" w:rsidR="002243DC" w:rsidRDefault="002243DC">
      <w:pPr>
        <w:ind w:left="1440" w:hanging="720"/>
        <w:rPr>
          <w:rFonts w:ascii="Arial" w:eastAsiaTheme="minorHAnsi" w:hAnsi="Arial" w:cs="Arial"/>
          <w:b/>
          <w:bCs/>
          <w:spacing w:val="0"/>
        </w:rPr>
      </w:pPr>
    </w:p>
    <w:p w14:paraId="21E2B224" w14:textId="77777777" w:rsidR="00985263" w:rsidRDefault="00985263">
      <w:pPr>
        <w:ind w:left="1440" w:hanging="720"/>
        <w:rPr>
          <w:rFonts w:ascii="Arial" w:eastAsiaTheme="minorHAnsi" w:hAnsi="Arial" w:cs="Arial"/>
          <w:b/>
          <w:bCs/>
          <w:spacing w:val="0"/>
        </w:rPr>
      </w:pPr>
    </w:p>
    <w:p w14:paraId="18D47F03" w14:textId="77777777" w:rsidR="00843433" w:rsidRDefault="00843433">
      <w:pPr>
        <w:ind w:left="1440" w:hanging="720"/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18D47F04" w14:textId="77777777" w:rsidR="00843433" w:rsidRDefault="00843433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17633AC3" w14:textId="77777777" w:rsidR="007F02E7" w:rsidRDefault="007F02E7" w:rsidP="004B6FAF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1749F8C6" w14:textId="77777777" w:rsidR="007F02E7" w:rsidRDefault="007F02E7" w:rsidP="004B6FAF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04F24BB5" w14:textId="77777777" w:rsidR="00843649" w:rsidRDefault="00843649" w:rsidP="004B6FAF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187E6A00" w14:textId="77777777" w:rsidR="00843649" w:rsidRDefault="00843649" w:rsidP="004B6FAF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p w14:paraId="6575C4EE" w14:textId="77777777" w:rsidR="00843649" w:rsidRPr="004B6FAF" w:rsidRDefault="00843649" w:rsidP="004B6FAF">
      <w:pPr>
        <w:rPr>
          <w:rFonts w:ascii="Arial" w:eastAsiaTheme="minorHAnsi" w:hAnsi="Arial" w:cs="Arial"/>
          <w:b/>
          <w:bCs/>
          <w:spacing w:val="0"/>
          <w:sz w:val="22"/>
          <w:szCs w:val="22"/>
        </w:rPr>
      </w:pPr>
    </w:p>
    <w:sectPr w:rsidR="00843649" w:rsidRPr="004B6FAF" w:rsidSect="004B6FAF">
      <w:footerReference w:type="even" r:id="rId13"/>
      <w:footerReference w:type="default" r:id="rId14"/>
      <w:headerReference w:type="first" r:id="rId15"/>
      <w:pgSz w:w="11901" w:h="16817"/>
      <w:pgMar w:top="964" w:right="851" w:bottom="964" w:left="851" w:header="0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60B02" w14:textId="77777777" w:rsidR="00540456" w:rsidRDefault="00540456">
      <w:r>
        <w:separator/>
      </w:r>
    </w:p>
  </w:endnote>
  <w:endnote w:type="continuationSeparator" w:id="0">
    <w:p w14:paraId="53D0A222" w14:textId="77777777" w:rsidR="00540456" w:rsidRDefault="00540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Frutiger-Light">
    <w:altName w:val="L Frutiger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7F36" w14:textId="77777777" w:rsidR="00843433" w:rsidRDefault="00843433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7F37" w14:textId="7A012A85" w:rsidR="00843433" w:rsidRPr="004B6FAF" w:rsidRDefault="00843433" w:rsidP="004B6FAF">
    <w:pPr>
      <w:pStyle w:val="Footer"/>
      <w:ind w:left="-851"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1FF98" w14:textId="77777777" w:rsidR="00540456" w:rsidRDefault="00540456">
      <w:r>
        <w:separator/>
      </w:r>
    </w:p>
  </w:footnote>
  <w:footnote w:type="continuationSeparator" w:id="0">
    <w:p w14:paraId="75D32A91" w14:textId="77777777" w:rsidR="00540456" w:rsidRDefault="00540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47F38" w14:textId="673FFBDA" w:rsidR="00843433" w:rsidRDefault="00F84E8E" w:rsidP="004B6FAF">
    <w:pPr>
      <w:pStyle w:val="Header"/>
    </w:pPr>
    <w:r>
      <w:ptab w:relativeTo="indent" w:alignment="right" w:leader="none"/>
    </w:r>
    <w:r w:rsidR="009F258C">
      <w:ptab w:relativeTo="margin" w:alignment="right" w:leader="none"/>
    </w:r>
    <w:r w:rsidR="009F258C">
      <w:ptab w:relativeTo="indent" w:alignment="right" w:leader="none"/>
    </w:r>
    <w:r w:rsidR="00954663">
      <w:tab/>
    </w:r>
    <w:r w:rsidR="00C42320">
      <w:tab/>
      <w:t xml:space="preserve">   </w:t>
    </w:r>
    <w:r>
      <w:rPr>
        <w:noProof/>
      </w:rPr>
      <w:ptab w:relativeTo="margin" w:alignment="right" w:leader="none"/>
    </w:r>
    <w:r w:rsidR="00A8115E">
      <w:rPr>
        <w:noProof/>
      </w:rPr>
      <w:drawing>
        <wp:inline distT="0" distB="0" distL="0" distR="0" wp14:anchorId="19862E8C" wp14:editId="0386E091">
          <wp:extent cx="951230" cy="939165"/>
          <wp:effectExtent l="0" t="0" r="1270" b="0"/>
          <wp:docPr id="1457587996" name="Picture 1" descr="A blue and white logo with black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7587996" name="Picture 1" descr="A blue and white logo with black tex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939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F0D57"/>
    <w:multiLevelType w:val="multilevel"/>
    <w:tmpl w:val="D4380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28094497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33"/>
    <w:rsid w:val="00001437"/>
    <w:rsid w:val="00024DA8"/>
    <w:rsid w:val="0002553C"/>
    <w:rsid w:val="000366F2"/>
    <w:rsid w:val="000400A3"/>
    <w:rsid w:val="00043BDE"/>
    <w:rsid w:val="00046F82"/>
    <w:rsid w:val="000546F8"/>
    <w:rsid w:val="00061CD4"/>
    <w:rsid w:val="000701F0"/>
    <w:rsid w:val="000743A5"/>
    <w:rsid w:val="00081B71"/>
    <w:rsid w:val="000965DE"/>
    <w:rsid w:val="000A4FC2"/>
    <w:rsid w:val="000B6BA8"/>
    <w:rsid w:val="000F4CDB"/>
    <w:rsid w:val="00104A5B"/>
    <w:rsid w:val="00110A1F"/>
    <w:rsid w:val="00115D80"/>
    <w:rsid w:val="00116E02"/>
    <w:rsid w:val="00126758"/>
    <w:rsid w:val="0013177D"/>
    <w:rsid w:val="00132BB3"/>
    <w:rsid w:val="00141AE3"/>
    <w:rsid w:val="00162F1A"/>
    <w:rsid w:val="00183770"/>
    <w:rsid w:val="00186DFB"/>
    <w:rsid w:val="00193347"/>
    <w:rsid w:val="001B587A"/>
    <w:rsid w:val="001C6D2F"/>
    <w:rsid w:val="001E6C1A"/>
    <w:rsid w:val="001E7F16"/>
    <w:rsid w:val="001F67F0"/>
    <w:rsid w:val="002243DC"/>
    <w:rsid w:val="00245C5B"/>
    <w:rsid w:val="002503E9"/>
    <w:rsid w:val="00254F0B"/>
    <w:rsid w:val="00277C22"/>
    <w:rsid w:val="002815C9"/>
    <w:rsid w:val="002840AC"/>
    <w:rsid w:val="00287310"/>
    <w:rsid w:val="002C088A"/>
    <w:rsid w:val="002C0EEB"/>
    <w:rsid w:val="002D5CC0"/>
    <w:rsid w:val="002D6BF2"/>
    <w:rsid w:val="002E7AE2"/>
    <w:rsid w:val="002F1DA5"/>
    <w:rsid w:val="0030376E"/>
    <w:rsid w:val="00314A9C"/>
    <w:rsid w:val="00314DFB"/>
    <w:rsid w:val="00314F7C"/>
    <w:rsid w:val="00316EAB"/>
    <w:rsid w:val="00317390"/>
    <w:rsid w:val="003265EC"/>
    <w:rsid w:val="0033052B"/>
    <w:rsid w:val="00352CDA"/>
    <w:rsid w:val="003540C1"/>
    <w:rsid w:val="00356D66"/>
    <w:rsid w:val="00363A02"/>
    <w:rsid w:val="003741F5"/>
    <w:rsid w:val="003742A3"/>
    <w:rsid w:val="00383994"/>
    <w:rsid w:val="00391A1A"/>
    <w:rsid w:val="00397AE8"/>
    <w:rsid w:val="003A4C26"/>
    <w:rsid w:val="003B5C30"/>
    <w:rsid w:val="003C6FFA"/>
    <w:rsid w:val="003C7416"/>
    <w:rsid w:val="003C7837"/>
    <w:rsid w:val="003D51B6"/>
    <w:rsid w:val="003E7041"/>
    <w:rsid w:val="003F77C9"/>
    <w:rsid w:val="00402F80"/>
    <w:rsid w:val="00404C46"/>
    <w:rsid w:val="00405551"/>
    <w:rsid w:val="004164F6"/>
    <w:rsid w:val="00417CF6"/>
    <w:rsid w:val="00424CAD"/>
    <w:rsid w:val="00424E41"/>
    <w:rsid w:val="004466DF"/>
    <w:rsid w:val="004505BB"/>
    <w:rsid w:val="004556DA"/>
    <w:rsid w:val="0046136F"/>
    <w:rsid w:val="004653DC"/>
    <w:rsid w:val="00466DA1"/>
    <w:rsid w:val="0049516B"/>
    <w:rsid w:val="004A3C06"/>
    <w:rsid w:val="004B6FAF"/>
    <w:rsid w:val="004B7436"/>
    <w:rsid w:val="004D26D5"/>
    <w:rsid w:val="004D3EA4"/>
    <w:rsid w:val="004D76A1"/>
    <w:rsid w:val="004F0618"/>
    <w:rsid w:val="004F30C2"/>
    <w:rsid w:val="004F6048"/>
    <w:rsid w:val="00505BB1"/>
    <w:rsid w:val="0051550B"/>
    <w:rsid w:val="0052404C"/>
    <w:rsid w:val="005273FC"/>
    <w:rsid w:val="005332CD"/>
    <w:rsid w:val="00537728"/>
    <w:rsid w:val="00540456"/>
    <w:rsid w:val="005519A5"/>
    <w:rsid w:val="00562B00"/>
    <w:rsid w:val="00573640"/>
    <w:rsid w:val="00574106"/>
    <w:rsid w:val="005806B1"/>
    <w:rsid w:val="0058147E"/>
    <w:rsid w:val="00595914"/>
    <w:rsid w:val="005960F8"/>
    <w:rsid w:val="005A2B58"/>
    <w:rsid w:val="005B6B15"/>
    <w:rsid w:val="005C34A6"/>
    <w:rsid w:val="005E317A"/>
    <w:rsid w:val="005F3EF5"/>
    <w:rsid w:val="00604278"/>
    <w:rsid w:val="0060762C"/>
    <w:rsid w:val="006416EE"/>
    <w:rsid w:val="00654BA7"/>
    <w:rsid w:val="00656E4F"/>
    <w:rsid w:val="006571BE"/>
    <w:rsid w:val="00676A81"/>
    <w:rsid w:val="00680DD2"/>
    <w:rsid w:val="006819A5"/>
    <w:rsid w:val="00683336"/>
    <w:rsid w:val="00687553"/>
    <w:rsid w:val="0069058C"/>
    <w:rsid w:val="00695A92"/>
    <w:rsid w:val="00697375"/>
    <w:rsid w:val="006A2649"/>
    <w:rsid w:val="006A47F6"/>
    <w:rsid w:val="006A4870"/>
    <w:rsid w:val="006B544E"/>
    <w:rsid w:val="006B6752"/>
    <w:rsid w:val="006C5C9F"/>
    <w:rsid w:val="006E2353"/>
    <w:rsid w:val="006E3023"/>
    <w:rsid w:val="006F1FCC"/>
    <w:rsid w:val="006F4D0F"/>
    <w:rsid w:val="007327BF"/>
    <w:rsid w:val="007373B8"/>
    <w:rsid w:val="00737D26"/>
    <w:rsid w:val="007812A3"/>
    <w:rsid w:val="007921AD"/>
    <w:rsid w:val="00796610"/>
    <w:rsid w:val="007A28CE"/>
    <w:rsid w:val="007B0E83"/>
    <w:rsid w:val="007C1F88"/>
    <w:rsid w:val="007D1813"/>
    <w:rsid w:val="007D24D7"/>
    <w:rsid w:val="007D5144"/>
    <w:rsid w:val="007D6163"/>
    <w:rsid w:val="007E579B"/>
    <w:rsid w:val="007F02E7"/>
    <w:rsid w:val="007F44E8"/>
    <w:rsid w:val="008139A8"/>
    <w:rsid w:val="0081681E"/>
    <w:rsid w:val="0083401B"/>
    <w:rsid w:val="0084089D"/>
    <w:rsid w:val="00841E43"/>
    <w:rsid w:val="00843433"/>
    <w:rsid w:val="00843649"/>
    <w:rsid w:val="00850264"/>
    <w:rsid w:val="00860380"/>
    <w:rsid w:val="00861B03"/>
    <w:rsid w:val="00862847"/>
    <w:rsid w:val="008646EC"/>
    <w:rsid w:val="008667A7"/>
    <w:rsid w:val="00871BFB"/>
    <w:rsid w:val="00873880"/>
    <w:rsid w:val="00892ACB"/>
    <w:rsid w:val="00893F2C"/>
    <w:rsid w:val="00897FE1"/>
    <w:rsid w:val="008B0CA2"/>
    <w:rsid w:val="008B47AA"/>
    <w:rsid w:val="008E4493"/>
    <w:rsid w:val="008E5F51"/>
    <w:rsid w:val="008F1FD3"/>
    <w:rsid w:val="00902F90"/>
    <w:rsid w:val="00915367"/>
    <w:rsid w:val="00917F9F"/>
    <w:rsid w:val="009246BF"/>
    <w:rsid w:val="00934AA4"/>
    <w:rsid w:val="00941A53"/>
    <w:rsid w:val="009504D3"/>
    <w:rsid w:val="009515F3"/>
    <w:rsid w:val="00952C5D"/>
    <w:rsid w:val="00954663"/>
    <w:rsid w:val="00971C64"/>
    <w:rsid w:val="00972295"/>
    <w:rsid w:val="009733A9"/>
    <w:rsid w:val="00985263"/>
    <w:rsid w:val="009877C4"/>
    <w:rsid w:val="0099060C"/>
    <w:rsid w:val="009A71F1"/>
    <w:rsid w:val="009B795F"/>
    <w:rsid w:val="009C7E5F"/>
    <w:rsid w:val="009F24A2"/>
    <w:rsid w:val="009F258C"/>
    <w:rsid w:val="009F6094"/>
    <w:rsid w:val="00A05DA0"/>
    <w:rsid w:val="00A153CF"/>
    <w:rsid w:val="00A35534"/>
    <w:rsid w:val="00A35F5A"/>
    <w:rsid w:val="00A43D66"/>
    <w:rsid w:val="00A7329A"/>
    <w:rsid w:val="00A76039"/>
    <w:rsid w:val="00A77200"/>
    <w:rsid w:val="00A8115E"/>
    <w:rsid w:val="00A956DA"/>
    <w:rsid w:val="00AA67DD"/>
    <w:rsid w:val="00AB4AAB"/>
    <w:rsid w:val="00AB591C"/>
    <w:rsid w:val="00AE526E"/>
    <w:rsid w:val="00AF2DEC"/>
    <w:rsid w:val="00AF4DAE"/>
    <w:rsid w:val="00AF4F12"/>
    <w:rsid w:val="00AF6191"/>
    <w:rsid w:val="00B109B0"/>
    <w:rsid w:val="00B2282D"/>
    <w:rsid w:val="00B34EFF"/>
    <w:rsid w:val="00B37726"/>
    <w:rsid w:val="00B45125"/>
    <w:rsid w:val="00B47181"/>
    <w:rsid w:val="00B473E9"/>
    <w:rsid w:val="00B53A92"/>
    <w:rsid w:val="00B56FFE"/>
    <w:rsid w:val="00B622FB"/>
    <w:rsid w:val="00B62DA2"/>
    <w:rsid w:val="00B64798"/>
    <w:rsid w:val="00B93AF3"/>
    <w:rsid w:val="00BB2D07"/>
    <w:rsid w:val="00BB63F5"/>
    <w:rsid w:val="00BC5AC7"/>
    <w:rsid w:val="00BD1861"/>
    <w:rsid w:val="00BD5C9A"/>
    <w:rsid w:val="00BE1270"/>
    <w:rsid w:val="00BE294F"/>
    <w:rsid w:val="00BE55B0"/>
    <w:rsid w:val="00C31061"/>
    <w:rsid w:val="00C34930"/>
    <w:rsid w:val="00C35154"/>
    <w:rsid w:val="00C35680"/>
    <w:rsid w:val="00C42320"/>
    <w:rsid w:val="00C6375B"/>
    <w:rsid w:val="00C63B04"/>
    <w:rsid w:val="00C70E06"/>
    <w:rsid w:val="00C73706"/>
    <w:rsid w:val="00C7405B"/>
    <w:rsid w:val="00C81999"/>
    <w:rsid w:val="00C86F1B"/>
    <w:rsid w:val="00C878DA"/>
    <w:rsid w:val="00CB0DBF"/>
    <w:rsid w:val="00CB2FC1"/>
    <w:rsid w:val="00CC0672"/>
    <w:rsid w:val="00CD6E48"/>
    <w:rsid w:val="00CF06D8"/>
    <w:rsid w:val="00CF2C4E"/>
    <w:rsid w:val="00D016AA"/>
    <w:rsid w:val="00D11819"/>
    <w:rsid w:val="00D13EF8"/>
    <w:rsid w:val="00D14685"/>
    <w:rsid w:val="00D209C5"/>
    <w:rsid w:val="00D21858"/>
    <w:rsid w:val="00D25940"/>
    <w:rsid w:val="00D30A46"/>
    <w:rsid w:val="00D478DC"/>
    <w:rsid w:val="00D547A9"/>
    <w:rsid w:val="00D57F31"/>
    <w:rsid w:val="00D63BB3"/>
    <w:rsid w:val="00D73011"/>
    <w:rsid w:val="00D84DAB"/>
    <w:rsid w:val="00D85DB2"/>
    <w:rsid w:val="00DA3F66"/>
    <w:rsid w:val="00DA4EFF"/>
    <w:rsid w:val="00DA6B7E"/>
    <w:rsid w:val="00DB3EAD"/>
    <w:rsid w:val="00DB4835"/>
    <w:rsid w:val="00DC4395"/>
    <w:rsid w:val="00DD125F"/>
    <w:rsid w:val="00DD3B20"/>
    <w:rsid w:val="00DE727E"/>
    <w:rsid w:val="00E02976"/>
    <w:rsid w:val="00E11DF3"/>
    <w:rsid w:val="00E1247A"/>
    <w:rsid w:val="00E20263"/>
    <w:rsid w:val="00E25A76"/>
    <w:rsid w:val="00E30886"/>
    <w:rsid w:val="00E3400F"/>
    <w:rsid w:val="00E4155E"/>
    <w:rsid w:val="00E41C82"/>
    <w:rsid w:val="00E45C21"/>
    <w:rsid w:val="00E6796A"/>
    <w:rsid w:val="00E801C7"/>
    <w:rsid w:val="00E93CF2"/>
    <w:rsid w:val="00E96245"/>
    <w:rsid w:val="00EA134F"/>
    <w:rsid w:val="00EA62A2"/>
    <w:rsid w:val="00EB0E62"/>
    <w:rsid w:val="00EB4164"/>
    <w:rsid w:val="00EB4ED5"/>
    <w:rsid w:val="00EE44AD"/>
    <w:rsid w:val="00EF2B2D"/>
    <w:rsid w:val="00EF36F3"/>
    <w:rsid w:val="00EF4DB6"/>
    <w:rsid w:val="00EF5411"/>
    <w:rsid w:val="00EF74A4"/>
    <w:rsid w:val="00EF7E8F"/>
    <w:rsid w:val="00F12FB7"/>
    <w:rsid w:val="00F134D0"/>
    <w:rsid w:val="00F33B76"/>
    <w:rsid w:val="00F4295C"/>
    <w:rsid w:val="00F504FB"/>
    <w:rsid w:val="00F54F28"/>
    <w:rsid w:val="00F5594C"/>
    <w:rsid w:val="00F57CB8"/>
    <w:rsid w:val="00F67CC9"/>
    <w:rsid w:val="00F82F6A"/>
    <w:rsid w:val="00F83A30"/>
    <w:rsid w:val="00F84E8E"/>
    <w:rsid w:val="00F95225"/>
    <w:rsid w:val="00FB2B48"/>
    <w:rsid w:val="00FC0EF0"/>
    <w:rsid w:val="00FD0B64"/>
    <w:rsid w:val="00FD4FE0"/>
    <w:rsid w:val="00FD59E2"/>
    <w:rsid w:val="00FE5CE2"/>
    <w:rsid w:val="00FF0BA6"/>
    <w:rsid w:val="2390FCEA"/>
    <w:rsid w:val="4DBF8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D47E4A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59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Pr>
      <w:rFonts w:ascii="Verdana" w:eastAsia="Cambria" w:hAnsi="Verdana" w:cs="Times New Roman"/>
      <w:spacing w:val="2"/>
    </w:rPr>
  </w:style>
  <w:style w:type="paragraph" w:customStyle="1" w:styleId="xmsolistparagraph">
    <w:name w:val="x_msolistparagraph"/>
    <w:basedOn w:val="Normal"/>
    <w:pPr>
      <w:spacing w:after="200" w:line="276" w:lineRule="auto"/>
      <w:ind w:left="720"/>
    </w:pPr>
    <w:rPr>
      <w:rFonts w:ascii="Calibri" w:eastAsiaTheme="minorHAnsi" w:hAnsi="Calibri" w:cs="Calibri"/>
      <w:spacing w:val="0"/>
      <w:sz w:val="22"/>
      <w:szCs w:val="22"/>
      <w:lang w:eastAsia="en-GB"/>
    </w:rPr>
  </w:style>
  <w:style w:type="paragraph" w:customStyle="1" w:styleId="xmsonormal">
    <w:name w:val="x_msonormal"/>
    <w:basedOn w:val="Normal"/>
    <w:rPr>
      <w:rFonts w:ascii="Calibri" w:eastAsiaTheme="minorHAnsi" w:hAnsi="Calibri" w:cs="Calibri"/>
      <w:spacing w:val="0"/>
      <w:sz w:val="22"/>
      <w:szCs w:val="22"/>
      <w:lang w:eastAsia="en-GB"/>
    </w:rPr>
  </w:style>
  <w:style w:type="paragraph" w:customStyle="1" w:styleId="FrameContents">
    <w:name w:val="Frame Contents"/>
    <w:basedOn w:val="Normal"/>
    <w:qFormat/>
    <w:rPr>
      <w:rFonts w:ascii="Arial" w:eastAsia="Times New Roman" w:hAnsi="Arial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59914">
          <w:marLeft w:val="0"/>
          <w:marRight w:val="0"/>
          <w:marTop w:val="120"/>
          <w:marBottom w:val="0"/>
          <w:divBdr>
            <w:top w:val="none" w:sz="0" w:space="0" w:color="auto"/>
            <w:left w:val="single" w:sz="24" w:space="15" w:color="D8DDE0"/>
            <w:bottom w:val="none" w:sz="0" w:space="0" w:color="auto"/>
            <w:right w:val="none" w:sz="0" w:space="0" w:color="auto"/>
          </w:divBdr>
        </w:div>
      </w:divsChild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628">
          <w:marLeft w:val="0"/>
          <w:marRight w:val="0"/>
          <w:marTop w:val="120"/>
          <w:marBottom w:val="0"/>
          <w:divBdr>
            <w:top w:val="none" w:sz="0" w:space="0" w:color="auto"/>
            <w:left w:val="single" w:sz="24" w:space="15" w:color="D8DDE0"/>
            <w:bottom w:val="none" w:sz="0" w:space="0" w:color="auto"/>
            <w:right w:val="none" w:sz="0" w:space="0" w:color="auto"/>
          </w:divBdr>
        </w:div>
      </w:divsChild>
    </w:div>
    <w:div w:id="10102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ccent.hicom.co.uk/Pro/Live/web/Identity/Account/Logi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24325a1f-6156-4dc7-ae6c-2ed44c156974" xsi:nil="true"/>
    <_ip_UnifiedCompliancePolicyProperties xmlns="24325a1f-6156-4dc7-ae6c-2ed44c15697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914D3609583C4780F02BC0019217CF" ma:contentTypeVersion="16" ma:contentTypeDescription="Create a new document." ma:contentTypeScope="" ma:versionID="83c6d3dd083dd6e058539f27540e9398">
  <xsd:schema xmlns:xsd="http://www.w3.org/2001/XMLSchema" xmlns:xs="http://www.w3.org/2001/XMLSchema" xmlns:p="http://schemas.microsoft.com/office/2006/metadata/properties" xmlns:ns2="e6c862c5-af6d-4201-9e87-47fc881aa5f1" xmlns:ns3="24325a1f-6156-4dc7-ae6c-2ed44c156974" targetNamespace="http://schemas.microsoft.com/office/2006/metadata/properties" ma:root="true" ma:fieldsID="cde741380dc12eb631a4012aec8f788b" ns2:_="" ns3:_="">
    <xsd:import namespace="e6c862c5-af6d-4201-9e87-47fc881aa5f1"/>
    <xsd:import namespace="24325a1f-6156-4dc7-ae6c-2ed44c1569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3:_ip_UnifiedCompliancePolicyProperties" minOccurs="0"/>
                <xsd:element ref="ns3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862c5-af6d-4201-9e87-47fc881aa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25a1f-6156-4dc7-ae6c-2ed44c156974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ip_UnifiedCompliancePolicyProperties" ma:index="13" nillable="true" ma:displayName="Unified Compliance Policy Properties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6E0847-6075-644F-A6D9-51657B3C5E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E9070C-76CB-4E0A-81AE-8FB0DE96E120}">
  <ds:schemaRefs>
    <ds:schemaRef ds:uri="http://schemas.microsoft.com/office/2006/metadata/properties"/>
    <ds:schemaRef ds:uri="http://schemas.microsoft.com/office/infopath/2007/PartnerControls"/>
    <ds:schemaRef ds:uri="24325a1f-6156-4dc7-ae6c-2ed44c156974"/>
  </ds:schemaRefs>
</ds:datastoreItem>
</file>

<file path=customXml/itemProps3.xml><?xml version="1.0" encoding="utf-8"?>
<ds:datastoreItem xmlns:ds="http://schemas.openxmlformats.org/officeDocument/2006/customXml" ds:itemID="{37867B20-6B9E-4123-AE93-9F7DEE041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862c5-af6d-4201-9e87-47fc881aa5f1"/>
    <ds:schemaRef ds:uri="24325a1f-6156-4dc7-ae6c-2ed44c1569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E6F1DC-B54A-43EF-A1CF-2A42ED28413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72</TotalTime>
  <Pages>4</Pages>
  <Words>1263</Words>
  <Characters>7202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 Luke</dc:creator>
  <cp:lastModifiedBy>LEMANSKA, Monika (NHS ENGLAND)</cp:lastModifiedBy>
  <cp:revision>69</cp:revision>
  <cp:lastPrinted>2021-02-09T19:06:00Z</cp:lastPrinted>
  <dcterms:created xsi:type="dcterms:W3CDTF">2025-06-20T07:53:00Z</dcterms:created>
  <dcterms:modified xsi:type="dcterms:W3CDTF">2025-06-30T09:11:00Z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0x010100B3914D3609583C4780F02BC0019217CF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</Properties>
</file>